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F7C4A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</w:p>
    <w:p w14:paraId="5BC48633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  <w:t>IZVJEŠĆE O IZVRŠENJU PROGRAMA RADA TURISTIČKE ZAJEDNICE OPĆINE ŠESTANOVAC ZA 2025. GODINU</w:t>
      </w:r>
    </w:p>
    <w:p w14:paraId="319D819F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</w:pPr>
    </w:p>
    <w:p w14:paraId="2EA832BD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UVOD</w:t>
      </w:r>
    </w:p>
    <w:p w14:paraId="7E08680B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both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Godišnje financijsko izvješće Turističke zajednice općine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godinu, sukladno Zakonu o turističkim zajednicama i promicanju hrvatskog turizma, sadržava podatke o izvršenju programom rada pojedinačno utvrđenih zadataka, izdacima njihovog izvršenja, izdacima za poslovanje turističkog ureda, ostvarenju prihoda po izvorima, financijskom rezultatu poslovanja, usporedbu financijskog plana i njegovog ostvarenja s obrazloženjem odstupanja, analizu i ocjenu izvršenja programa, te procjenu učinka poduzetih aktivnosti na razvoj turizma. Daje se prikaz ostvarenih aktivnosti (prihoda i rashoda) proizašlih iz Programa rada i financijskog plana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godinu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.</w:t>
      </w:r>
    </w:p>
    <w:p w14:paraId="11B56EA2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Napomena: Godišnje izvršenje financijskog plana Turističke zajednice razlikuje se u odnosu na godišnje financijsko izvješće koja se izrađuje sukladno računovodstvenim i drugim propisima za neprofitne organizacije odnosno riječ je načelu nastanka troška (događaja) i novčanom načelu.</w:t>
      </w:r>
    </w:p>
    <w:p w14:paraId="238204C6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Turistički rezultati u 202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. godini</w:t>
      </w:r>
    </w:p>
    <w:p w14:paraId="54360519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Prema podacima iz sustava eVisitor na području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godine zabilježeno je ukupno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1.947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dola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sk</w:t>
      </w:r>
      <w:r>
        <w:rPr>
          <w:rFonts w:hint="default" w:ascii="Times New Roman" w:hAnsi="Times New Roman" w:eastAsia="SimSun" w:cs="Times New Roman"/>
          <w:sz w:val="22"/>
          <w:szCs w:val="22"/>
        </w:rPr>
        <w:t>a, dok je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godini zabilježeno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1.9736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dolazaka. Također,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godine zabilježeno je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15.847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noćenja, dok je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godine zabilježeno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16.296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noćenja.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Rast noćenja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u odnosu na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godinu iznosi približno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2,83 </w:t>
      </w:r>
      <w:r>
        <w:rPr>
          <w:rFonts w:hint="default" w:ascii="Times New Roman" w:hAnsi="Times New Roman" w:eastAsia="SimSun" w:cs="Times New Roman"/>
          <w:sz w:val="22"/>
          <w:szCs w:val="22"/>
        </w:rPr>
        <w:t>%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U nastavku pregled statističkih podataka iz sustava eVisitor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>. godinu i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godinu:</w:t>
      </w:r>
    </w:p>
    <w:p w14:paraId="5DD23B96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Usporedba dolazaka i noćenja: 202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hr-HR"/>
        </w:rPr>
        <w:t>4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. vs 202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hr-HR"/>
        </w:rPr>
        <w:t>5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8AF019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U nastavku je prikazana tablica s ukupnim brojevima dolazaka i noćenja za 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 i 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cs="Times New Roman"/>
          <w:sz w:val="22"/>
          <w:szCs w:val="22"/>
        </w:rPr>
        <w:t>. godinu, kao i pripadajuće postotne promjene. Na temelju podataka uočava se blagi porast oba pokazatelja.</w:t>
      </w:r>
    </w:p>
    <w:p w14:paraId="6A8A1A0F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2B1E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B79E46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Pokazatelj</w:t>
            </w:r>
          </w:p>
        </w:tc>
        <w:tc>
          <w:tcPr>
            <w:tcW w:w="2160" w:type="dxa"/>
          </w:tcPr>
          <w:p w14:paraId="6DD1028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hr-HR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14:paraId="1BBC038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hr-HR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14:paraId="6186592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Promjena (%)</w:t>
            </w:r>
          </w:p>
        </w:tc>
      </w:tr>
      <w:tr w14:paraId="0DC0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1AA26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Dolasci</w:t>
            </w:r>
          </w:p>
        </w:tc>
        <w:tc>
          <w:tcPr>
            <w:tcW w:w="2160" w:type="dxa"/>
          </w:tcPr>
          <w:p w14:paraId="5E85212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1.947</w:t>
            </w:r>
          </w:p>
        </w:tc>
        <w:tc>
          <w:tcPr>
            <w:tcW w:w="2160" w:type="dxa"/>
          </w:tcPr>
          <w:p w14:paraId="6EE1E94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1.973</w:t>
            </w:r>
          </w:p>
        </w:tc>
        <w:tc>
          <w:tcPr>
            <w:tcW w:w="2160" w:type="dxa"/>
          </w:tcPr>
          <w:p w14:paraId="6F05965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1,34 %</w:t>
            </w:r>
          </w:p>
        </w:tc>
      </w:tr>
      <w:tr w14:paraId="348F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CB835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Noćenja</w:t>
            </w:r>
          </w:p>
        </w:tc>
        <w:tc>
          <w:tcPr>
            <w:tcW w:w="2160" w:type="dxa"/>
          </w:tcPr>
          <w:p w14:paraId="32C8CED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15.847</w:t>
            </w:r>
          </w:p>
        </w:tc>
        <w:tc>
          <w:tcPr>
            <w:tcW w:w="2160" w:type="dxa"/>
          </w:tcPr>
          <w:p w14:paraId="5CC7643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16.296</w:t>
            </w:r>
          </w:p>
        </w:tc>
        <w:tc>
          <w:tcPr>
            <w:tcW w:w="2160" w:type="dxa"/>
          </w:tcPr>
          <w:p w14:paraId="55D8465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hr-HR"/>
              </w:rPr>
              <w:t>2,83 %</w:t>
            </w:r>
          </w:p>
        </w:tc>
      </w:tr>
    </w:tbl>
    <w:p w14:paraId="1B62ABC4">
      <w:pPr>
        <w:rPr>
          <w:rFonts w:hint="default" w:ascii="Times New Roman" w:hAnsi="Times New Roman" w:cs="Times New Roman"/>
          <w:sz w:val="22"/>
          <w:szCs w:val="22"/>
        </w:rPr>
      </w:pPr>
    </w:p>
    <w:p w14:paraId="61D52BF9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15611E06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drawing>
          <wp:inline distT="0" distB="0" distL="114300" distR="114300">
            <wp:extent cx="3921760" cy="2902585"/>
            <wp:effectExtent l="0" t="0" r="10160" b="8255"/>
            <wp:docPr id="3" name="Picture 3" descr="output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output (15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359E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</w:p>
    <w:p w14:paraId="4FB23924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PRIHODI PO VRSTAMA </w:t>
      </w:r>
    </w:p>
    <w:p w14:paraId="7CFD03D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Izvorni prihodi </w:t>
      </w:r>
    </w:p>
    <w:p w14:paraId="19172975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0" w:after="160" w:afterAutospacing="0" w:line="256" w:lineRule="auto"/>
        <w:ind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Prihodi od turističke pristojbe Turistička pristojba prihod je turističkih zajednica. Turističke zajednice turističku pristojbu koriste za izvršavanje svojih zadaća i za svoje poslovanje sukladno godišnjem programu rada i financijskom planu. Turistička pristojba 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Općini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raspoređuje se prema sljedećem rasporedu:</w:t>
      </w:r>
    </w:p>
    <w:p w14:paraId="681331C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• 80% Turističkoj zajednici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</w:p>
    <w:p w14:paraId="29662B9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• 20% Turističkoj zajednici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Splitsko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–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dalmatinske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županije</w:t>
      </w:r>
    </w:p>
    <w:p w14:paraId="0792CFD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Prihod od turističke pristojbe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godinu: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12.004,00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</w:t>
      </w:r>
    </w:p>
    <w:p w14:paraId="608671EB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Prihodi od turističke članarine</w:t>
      </w:r>
    </w:p>
    <w:p w14:paraId="4AB6E96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Turistička članarina prihod je turističkih zajednica, a raspoređuje se sukladno odredbama Zakona o članarinama u turističkim zajednicama. Obveznici plaćanja članarine su fizičke i pravne osobe koje obavljaju djelatnost koje su raspoređene u pet skupina. Obveznici plaćaju članarinu ovisno o skupini kojoj pripada njihova djelatnost.</w:t>
      </w:r>
    </w:p>
    <w:p w14:paraId="00E0DF7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Prihod od turističke članarine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godinu: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5.991,99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5ECB4BF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Ukupno turistička pristojba i turistička članarina: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17.995,99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14B57F4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</w:p>
    <w:p w14:paraId="128C45B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Prihodi iz proračuna grada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  <w:t>/općine/županije/državnog proračuna</w:t>
      </w:r>
    </w:p>
    <w:p w14:paraId="781F3A1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Općine Šestanovac 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ostvaruje prihode iz lokalne samouprave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za programske aktivnosti i aktivnosti turističkog ureda. Za programske aktivnosti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iz proračuna lokalne samouprave ostvaruje prihode za financiranje projekata koji unapređuju i poboljšavaju uvjete boravka turista te potiču razvoj svih oblika turizma i vrše prezentaciju i promociju turističke ponude na području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Za aktivnosti ureda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iz proračuna lokalne samouprave ostvaruje prihode za financiranje plaće zaposlenika i svih ostalih izdataka turističkog ureda.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TZO Šestanovac je ostvarila i prihode od Turističke zajednice Splitsko-dalmatinske županije te od Splitsko-dalmatinske županije za manifestacije koje su prijavljene na županijske natječaje.</w:t>
      </w:r>
    </w:p>
    <w:p w14:paraId="0A31A86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Prihodi iz proračuna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godinu: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47.333,20 eura.</w:t>
      </w:r>
    </w:p>
    <w:p w14:paraId="276A282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Prihodi iz proračuna TZSDŽ za 2025. godinu:13.000,00 eura </w:t>
      </w:r>
    </w:p>
    <w:p w14:paraId="339152B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Prihodi iz proračuna SDŽ za 2025. godinu: 3.000,00 eura</w:t>
      </w:r>
    </w:p>
    <w:p w14:paraId="0E75692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Ukupno: 63.333,20 eura</w:t>
      </w:r>
    </w:p>
    <w:p w14:paraId="2AF1CBF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Prihodi od sustava turističkih zajednica</w:t>
      </w:r>
    </w:p>
    <w:p w14:paraId="41049309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Prihodi od HTZ- Fond za turistički nedovoljno razvijena područja i kontinent</w:t>
      </w:r>
    </w:p>
    <w:p w14:paraId="25A0F73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Prihodi koje je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ostvarila iz Fonda za turistički nedovoljno razvijena područja i kontinent sa rokom iskorištenja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sukladno Uredbi o namjeni i načinu raspodjele sredstava Fonda za turistički nedovoljno razvijena područja i kontinent. Sredstva iz Fonda za turistički nedovoljno razvijena područja i kontinent za projekt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e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„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Okusi Šestanovca” i “Lito je i u Šestanovcu”</w:t>
      </w:r>
      <w:r>
        <w:rPr>
          <w:rFonts w:hint="default" w:ascii="Times New Roman" w:hAnsi="Times New Roman" w:eastAsia="SimSun" w:cs="Times New Roman"/>
          <w:sz w:val="22"/>
          <w:szCs w:val="22"/>
        </w:rPr>
        <w:t>: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18.640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.</w:t>
      </w:r>
    </w:p>
    <w:p w14:paraId="6EE079D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Prihodi iz EU fondova</w:t>
      </w:r>
    </w:p>
    <w:p w14:paraId="42BFD41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Prihod turističke zajednice koje bi turistička zajednica ostvarila kroz provedbu projekata financiranih iz sredstava Europske unije. </w:t>
      </w:r>
    </w:p>
    <w:p w14:paraId="362A50D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bilo prihoda iz EU fondova.</w:t>
      </w:r>
    </w:p>
    <w:p w14:paraId="5EF230B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Preneseni prihodi iz prethodne godine </w:t>
      </w:r>
    </w:p>
    <w:p w14:paraId="744937F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Prihod prenesen iz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godine: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7.046,07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0D056E7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Ostali prihodi</w:t>
      </w:r>
    </w:p>
    <w:p w14:paraId="5DA734A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Pod ovom stavkom nalaze se prihodi od pravnih i fizičkih osoba koji svojevoljno podupiru određenu aktivnost koju provodi turistička zajednica, donacije, potpore i slično. </w:t>
      </w:r>
    </w:p>
    <w:p w14:paraId="056BFDE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godini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prihodi od donacija iznosili su: 1.191,96 eura.</w:t>
      </w:r>
    </w:p>
    <w:p w14:paraId="267BACC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  <w:t>Ukupno prihodi za 2025. godinu: 117.685,77 eura</w:t>
      </w:r>
    </w:p>
    <w:p w14:paraId="2039A63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</w:p>
    <w:p w14:paraId="05BF155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AKTIVNOSTI PO VRSTAMA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</w:t>
      </w:r>
    </w:p>
    <w:p w14:paraId="42CD7FB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ISTRAŽIVANJE I STRATEŠKO PLANIRANJE</w:t>
      </w:r>
    </w:p>
    <w:p w14:paraId="39757CD2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Izrada strateških /operativnih/komunikacijskih/akcijskih dokumenata: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Šestanovac je 2025. godine izradila Plan upravljanja destinacijom za općinu Šestanovac.</w:t>
      </w:r>
    </w:p>
    <w:p w14:paraId="20B7735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12681A40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Istraživanje i analiza tržišta</w:t>
      </w:r>
    </w:p>
    <w:p w14:paraId="36F6901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izrađivala je prema potrebi redovne analize za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vlastite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potrebe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i za potrebe 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Turističke zajednice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Splitsko-dalmatinske 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županije na način aktivnog sudjelovanja u redovnom poslovanju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godini. </w:t>
      </w:r>
    </w:p>
    <w:p w14:paraId="4C5789A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2F46CC12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Mjerenje učinkovitosti promotivnih aktivnosti</w:t>
      </w:r>
    </w:p>
    <w:p w14:paraId="2508E81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nije imala rashode mjerenja učinkovitosti promotivnih aktivnosti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godini. Rashodi: 0,00 eura.</w:t>
      </w:r>
    </w:p>
    <w:p w14:paraId="3C60951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Ukupni rashodi za aktivnost Istraživanje i strateško planiranje: 0,00 eura.</w:t>
      </w:r>
    </w:p>
    <w:p w14:paraId="088E504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bookmarkStart w:id="0" w:name="_GoBack"/>
      <w:bookmarkEnd w:id="0"/>
    </w:p>
    <w:p w14:paraId="0D337AA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RAZVOJ TURISTIČKOG PROIZVODA</w:t>
      </w:r>
    </w:p>
    <w:p w14:paraId="0A7315BC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Identificiranje i vrednovanje resursa te strukturiranje turističkih proizvoda</w:t>
      </w:r>
    </w:p>
    <w:p w14:paraId="4B6E131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radila je na popisu resursa koje je moguće turistički valorizirati te iste povezati u nove programe destinacije. Isti služe kao temelj za promotivni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materijal koji se objavljuje na web stranice.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radila je na poboljšanju razvoja događanja 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općini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i na motivima dolaska kako za individualne, tako i za grupne goste, na način aktivnog sudjelovanja u redovnom poslovanju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s ciljem povećanja broja dolazaka postojećih i potencijalnih turista te promocije destinacije.</w:t>
      </w:r>
    </w:p>
    <w:p w14:paraId="1AE34C3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Rashodi: 0,00 eura.</w:t>
      </w:r>
    </w:p>
    <w:p w14:paraId="0E0E97C2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Sustavi označavanja kvalitete turističkog proizvoda</w:t>
      </w:r>
    </w:p>
    <w:p w14:paraId="6AF7EB7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>Privatni smještaj na ovim prostorima odlikuje briga o gostu, susretljivost, obiteljsko ozračje boravka kod domaćina te lojalnost gostiju. TZ Šestanovac konstantno surađuje s predstavnicima turističke ponude na području općine Šestanovac povećavajući im vidljivost te promovirajući njih i njihove proizvode. Sve aktivnosti obavljaju se putem mapa, brošura, web stranice, društvenih mreža samostalno i u suradnji s Turističkom zajednicom Splitsko-dalmatinske županije i Hrvatskom turističkom zajednicom.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Suradnja turističke zajednice s predstavnicima turističke ponude – vinarima, ugostiteljima i vlasnicima smještajnih objekata vezano uz manifestacije koje su se održale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godini. Cilj aktivnosti: Umrežavanjem turističkih subjekata te kvalitetnim smjernicama doći će do poboljšanja uvjeta boravka turista u destinaciji te poboljšanja kvalitete turističkog proizvoda.</w:t>
      </w:r>
    </w:p>
    <w:p w14:paraId="7DED4FF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71765A17">
      <w:pPr>
        <w:spacing w:after="0" w:line="240" w:lineRule="auto"/>
        <w:rPr>
          <w:rFonts w:hint="default" w:ascii="Times New Roman" w:hAnsi="Times New Roman" w:eastAsia="Calibri" w:cs="Times New Roman"/>
          <w:sz w:val="22"/>
          <w:szCs w:val="22"/>
          <w:lang w:eastAsia="hr-HR"/>
        </w:rPr>
      </w:pPr>
    </w:p>
    <w:p w14:paraId="43083F23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  <w:t>Podrška razvoju turističkih događanja</w:t>
      </w:r>
    </w:p>
    <w:p w14:paraId="66328C0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</w:pP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>Nameće se potreba za sustavnijom organizacijom pojedinih kulturno-zabavnih, gastro i sportskih događanja koji bi reprezentativnije oslikavali život u Općini.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Manifestacij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>e</w:t>
      </w: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 xml:space="preserve"> “Šestanovačko lito”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i 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>“Okusi Šestanovca”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 su</w:t>
      </w: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 xml:space="preserve"> ove godine  doživjel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>i</w:t>
      </w: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 xml:space="preserve"> veliki uspjeh, medijsku popraćenost i veliko zadovoljstvo mještana i turista.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Također smo održali manifestaciju “S maslinom u ruci i pismom na usnama” i ovo je bila 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>četvrta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godina održavanja manifestacije na koju se svake godine odazove sve više ljudi. Manifestacija obilježava početak branja maslina u Općini Šestanovac. Također smo u veljači imali “Maškare” na kojima je bilo ponešto za svakoga, i stare i mlade a ponajviše za djecu.</w:t>
      </w:r>
    </w:p>
    <w:p w14:paraId="2AFCCE4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Calibri" w:cs="Times New Roman"/>
          <w:b/>
          <w:bCs/>
          <w:sz w:val="22"/>
          <w:szCs w:val="22"/>
          <w:lang w:val="en-US" w:eastAsia="hr-HR"/>
        </w:rPr>
      </w:pP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>U sklopu manifestacije “Šestanovačko lito” su održane predstave za odrasle ( Teatar Rugantino, kazalište “Ritam igre”), predstave za djecu (Čarobni animatori, Svijet čarolije, Produkcija Z), održan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>i sz koncerti benda “Svetinja”, Harija Rončevića, Pere Galića, Stjepana Lacha.</w:t>
      </w:r>
      <w:r>
        <w:rPr>
          <w:rFonts w:hint="default" w:ascii="Times New Roman" w:hAnsi="Times New Roman" w:eastAsia="Calibri" w:cs="Times New Roman"/>
          <w:sz w:val="22"/>
          <w:szCs w:val="22"/>
          <w:lang w:val="en-US" w:eastAsia="hr-HR"/>
        </w:rPr>
        <w:t xml:space="preserve"> Odradili smo i “Advent u Šestanovcu” gdje su se najviše uključili volonteri i djeca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 xml:space="preserve">. </w:t>
      </w: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val="en-US" w:eastAsia="hr-HR"/>
        </w:rPr>
        <w:t>Ukupno rashodi za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hr-HR"/>
        </w:rPr>
        <w:t xml:space="preserve"> podršku razvoja turističkih događanja</w:t>
      </w: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val="en-US" w:eastAsia="hr-HR"/>
        </w:rPr>
        <w:t xml:space="preserve">: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hr-HR"/>
        </w:rPr>
        <w:t>44.936,05</w:t>
      </w: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val="en-US" w:eastAsia="hr-HR"/>
        </w:rPr>
        <w:t xml:space="preserve"> eura</w:t>
      </w:r>
    </w:p>
    <w:p w14:paraId="0DCE66DA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Calibri" w:cs="Times New Roman"/>
          <w:b/>
          <w:bCs/>
          <w:sz w:val="22"/>
          <w:szCs w:val="22"/>
          <w:lang w:val="en-US" w:eastAsia="hr-HR"/>
        </w:rPr>
      </w:pP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  <w:t>Turistička infrastruktura</w:t>
      </w:r>
    </w:p>
    <w:p w14:paraId="0F3BF19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Calibri" w:cs="Times New Roman"/>
          <w:b w:val="0"/>
          <w:bCs w:val="0"/>
          <w:sz w:val="22"/>
          <w:szCs w:val="22"/>
          <w:lang w:val="en-US" w:eastAsia="hr-HR"/>
        </w:rPr>
      </w:pPr>
    </w:p>
    <w:p w14:paraId="6A45BE5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imala rashode turističke infrastrukture. Rashodi: 0,00 eura</w:t>
      </w:r>
    </w:p>
    <w:p w14:paraId="61FD918D">
      <w:pPr>
        <w:spacing w:after="0" w:line="240" w:lineRule="auto"/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</w:pPr>
    </w:p>
    <w:p w14:paraId="39E6DA81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en-US" w:eastAsia="hr-HR"/>
        </w:rPr>
      </w:pP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  <w:t>Podrška turističkoj industriji</w:t>
      </w:r>
    </w:p>
    <w:p w14:paraId="6588461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imala trošak potpore prema turističkim agencijama i turističkim operatorima.</w:t>
      </w:r>
    </w:p>
    <w:p w14:paraId="3FE0213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 Rashodi: 0,00 eura.</w:t>
      </w:r>
    </w:p>
    <w:p w14:paraId="70BC5D4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Ukupni rashodi za aktivnost Razvoj turističkog proizvoda: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44.936,05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</w:t>
      </w:r>
    </w:p>
    <w:p w14:paraId="21EE072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en-US" w:eastAsia="hr-HR"/>
        </w:rPr>
      </w:pPr>
    </w:p>
    <w:p w14:paraId="23BB2A1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KOMUNIKACIJA I OGLAŠAVANJE</w:t>
      </w:r>
    </w:p>
    <w:p w14:paraId="4FA2F45C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Sajmovi, posebne prezentacije i poslovne radionice</w:t>
      </w:r>
    </w:p>
    <w:p w14:paraId="0AA0794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Za poslovne radionice, prezentacije i sajmove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imala troškova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.</w:t>
      </w:r>
    </w:p>
    <w:p w14:paraId="331F3C1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18F36BB8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Suradnja s organizatorima putovanja</w:t>
      </w:r>
    </w:p>
    <w:p w14:paraId="0B0FC3C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sudjelovala u organizaciji studijskih putovanja u suradnji s organizatorima putovanja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.</w:t>
      </w:r>
    </w:p>
    <w:p w14:paraId="4B8AE3B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31BA0CDB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Kreiranje promotivnog materijala</w:t>
      </w:r>
    </w:p>
    <w:p w14:paraId="417F821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godini imala je rashod kreiranja promotivnog materijala u iznosu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11.828,14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72E917F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Rashodi kreiranja promotivnog materijala: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11.828,14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60EBDB42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Internetske stranice</w:t>
      </w:r>
    </w:p>
    <w:p w14:paraId="720FEFD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Održavanje internetskih stranica u cilju promocije destinacije i turističke ponude na području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te informiranje posjetitelja web stranice o svim aktualnostima vezanima uz turističku ponudu.</w:t>
      </w:r>
    </w:p>
    <w:p w14:paraId="3DD0A8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Ukupni rashodi za održavanje internetskih stranice: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1.000,00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492FE699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Kreiranje i upravljanje bazama turističkih podataka</w:t>
      </w:r>
    </w:p>
    <w:p w14:paraId="61AAFCE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s ciljem bolje informiranosti turista o turističkoj ponudi na području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pripremala je i sortirala podatke o turističkoj ponudi u svojoj destinaciji na način aktivnog sudjelovanja u redovnom poslovanju.</w:t>
      </w:r>
    </w:p>
    <w:p w14:paraId="5C14200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Rashodi: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0,00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4841276E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Turističko-informativne aktivnosti </w:t>
      </w:r>
    </w:p>
    <w:p w14:paraId="2C8BDA4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T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imala troškove turističko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</w:rPr>
        <w:t>informativnih aktivnosti.</w:t>
      </w:r>
    </w:p>
    <w:p w14:paraId="0AEC1F1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1174E2D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Ukupni rashodi za aktivnost Komunikacija i oglašavanje: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12.828,14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4A43439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DESTINACIJSKI MENADŽMENT</w:t>
      </w:r>
    </w:p>
    <w:p w14:paraId="0B9EADC8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Turistički informacijski sustavi i aplikacije/eVisitor</w:t>
      </w:r>
    </w:p>
    <w:p w14:paraId="05FA721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eVisitor je informacijski sustav za prijavu i odjavu turista koji koriste fizičke i pravne osobe koje djeluju kao pružatelji usluga smještaja (iznajmljivači). 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na raspolaganju je svim subjektima oko aktualnosti vezanih uz sustav eVisitor na način aktivnog sudjelovanja u redovnom poslovanju.</w:t>
      </w:r>
    </w:p>
    <w:p w14:paraId="5587AEB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</w:t>
      </w:r>
    </w:p>
    <w:p w14:paraId="5CCF8631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Upravljanje kvalitetom u destinaciji</w:t>
      </w:r>
    </w:p>
    <w:p w14:paraId="7E61C8A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Upravljanje kvalitetom u destinaciji s ciljem umrežavanja svih turističkih subjekata na području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što će u konačnici omogućiti bolje uvjete boravka turistima na način aktivnog sudjelovanja u redovnom poslovanju.</w:t>
      </w:r>
    </w:p>
    <w:p w14:paraId="0072C64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</w:t>
      </w:r>
    </w:p>
    <w:p w14:paraId="2F9CE1D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</w:p>
    <w:p w14:paraId="0B0E2153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Poticanje na očuvanje i uređenje okoliša</w:t>
      </w:r>
    </w:p>
    <w:p w14:paraId="2F20EF8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potiče i sugerira jedinici lokalne samouprave uređenje javnih površina u svrhu što boljeg dojma cijele destinacije na način aktivnog sudjelovanja u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redovnom poslovanju.</w:t>
      </w:r>
    </w:p>
    <w:p w14:paraId="168C974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294165C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Ukupni rashodi za aktivnost Destinacijski menadžment: 0,00 eura</w:t>
      </w:r>
    </w:p>
    <w:p w14:paraId="1E750AF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ČLANSTVO U STRUKOVNIM ORGANIZACIJAMA</w:t>
      </w:r>
    </w:p>
    <w:p w14:paraId="32E4871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ostvareno članstvo niti u domaćim niti u međunarodnim strukovnim organizacijama.</w:t>
      </w:r>
    </w:p>
    <w:p w14:paraId="505391C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Ukupni rashodi za aktivnost Članstvo u strukovnim organizacijama: 0,00 eura</w:t>
      </w:r>
    </w:p>
    <w:p w14:paraId="3EB98E6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ADMINISTRATIVNI POSLOVI</w:t>
      </w:r>
    </w:p>
    <w:p w14:paraId="1F759A10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Plaće </w:t>
      </w:r>
    </w:p>
    <w:p w14:paraId="3BF3079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Rashodi za plaće zaposlenika Turističke zajednice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za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godinu: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25.892,91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6D106101">
      <w:pPr>
        <w:spacing w:before="100" w:beforeAutospacing="1" w:after="100" w:afterAutospacing="1" w:line="240" w:lineRule="auto"/>
        <w:contextualSpacing/>
        <w:jc w:val="both"/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</w:pPr>
    </w:p>
    <w:p w14:paraId="76A1CFC7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2"/>
          <w:szCs w:val="22"/>
          <w:lang w:eastAsia="hr-HR"/>
        </w:rPr>
        <w:t>Materijalni troškovi</w:t>
      </w:r>
    </w:p>
    <w:p w14:paraId="6070B3F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cs="Times New Roman"/>
          <w:sz w:val="22"/>
          <w:szCs w:val="22"/>
          <w:lang w:val="en-US" w:eastAsia="hr-HR"/>
        </w:rPr>
      </w:pPr>
      <w:r>
        <w:rPr>
          <w:rFonts w:hint="default" w:ascii="Times New Roman" w:hAnsi="Times New Roman" w:eastAsia="Calibri" w:cs="Times New Roman"/>
          <w:sz w:val="22"/>
          <w:szCs w:val="22"/>
          <w:lang w:eastAsia="hr-HR"/>
        </w:rPr>
        <w:t>Materijalni troškovi odnose se na troškove funkcioniranja Turističke zajednice Općine Šestanovac: režijski troškovi,  uredska oprema i materijal, održavanje prostora, troškovi platnog prometa, odvjetnički i javnobilježnički troškovi, troškovi poštarine, stručno usavršavanje zaposlenika, i slični izdaci potrebni za nesmetano funkcioniranje ureda</w:t>
      </w:r>
      <w:r>
        <w:rPr>
          <w:rFonts w:hint="default" w:ascii="Times New Roman" w:hAnsi="Times New Roman" w:cs="Times New Roman"/>
          <w:sz w:val="22"/>
          <w:szCs w:val="22"/>
          <w:lang w:val="en-US" w:eastAsia="hr-HR"/>
        </w:rPr>
        <w:t xml:space="preserve"> (prema GFI-ju).</w:t>
      </w:r>
    </w:p>
    <w:p w14:paraId="2746F47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Rashodi za materijalne troškove: 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en-US" w:eastAsia="hr-HR"/>
        </w:rPr>
        <w:t>40.834,15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eura.</w:t>
      </w:r>
    </w:p>
    <w:p w14:paraId="1B60FAE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6.5. Tijela turističke zajednice</w:t>
      </w:r>
    </w:p>
    <w:p w14:paraId="087CF6E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. godini nije bilo rashoda za sjednice tijela Turističke zajednice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Šestanovac.</w:t>
      </w:r>
    </w:p>
    <w:p w14:paraId="4AA5EE7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Rashodi: 0,00 eura.</w:t>
      </w:r>
    </w:p>
    <w:p w14:paraId="504DA89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Ukupni rashodi za aktivnost Administrativni poslovi: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 xml:space="preserve">26.551,50 </w:t>
      </w:r>
      <w:r>
        <w:rPr>
          <w:rFonts w:hint="default" w:ascii="Times New Roman" w:hAnsi="Times New Roman" w:eastAsia="SimSun" w:cs="Times New Roman"/>
          <w:sz w:val="22"/>
          <w:szCs w:val="22"/>
        </w:rPr>
        <w:t>eura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.</w:t>
      </w:r>
    </w:p>
    <w:p w14:paraId="51A622A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 w:eastAsia="hr-HR"/>
        </w:rPr>
      </w:pPr>
    </w:p>
    <w:p w14:paraId="5E74172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REZERVA</w:t>
      </w:r>
    </w:p>
    <w:p w14:paraId="5EF5200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Rezerva do 5% za potrebe osiguranja likvidnosti u izvanrednim okolnostima te financiranja neplaniranih aktivnosti ( Odlukom Turističkog vijeća moguća je alokacija sredstava rezerve na ostale pojedinačno planirane aktivnosti ili nove aktivnosti).</w:t>
      </w:r>
    </w:p>
    <w:p w14:paraId="062F366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60" w:afterAutospacing="0" w:line="256" w:lineRule="auto"/>
        <w:ind w:left="0" w:leftChars="0" w:right="0" w:rightChars="0" w:firstLine="0" w:firstLineChars="0"/>
        <w:jc w:val="left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POKRIVANJE MANJKA PRIHODA IZ PRETHODNE GODINE</w:t>
      </w:r>
    </w:p>
    <w:p w14:paraId="711B2B1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 xml:space="preserve">Turistička zajednica 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Općine Šestanovac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nije imala manjak prihoda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4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stoga u 202</w:t>
      </w: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5</w:t>
      </w:r>
      <w:r>
        <w:rPr>
          <w:rFonts w:hint="default" w:ascii="Times New Roman" w:hAnsi="Times New Roman" w:eastAsia="SimSun" w:cs="Times New Roman"/>
          <w:sz w:val="22"/>
          <w:szCs w:val="22"/>
        </w:rPr>
        <w:t>. godini nije imala pokrivanje manjka prihoda.</w:t>
      </w:r>
    </w:p>
    <w:tbl>
      <w:tblPr>
        <w:tblStyle w:val="24"/>
        <w:tblpPr w:leftFromText="180" w:rightFromText="180" w:vertAnchor="text" w:tblpY="695"/>
        <w:tblW w:w="7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5"/>
        <w:gridCol w:w="592"/>
        <w:gridCol w:w="4572"/>
        <w:gridCol w:w="1108"/>
        <w:gridCol w:w="90"/>
        <w:gridCol w:w="1121"/>
      </w:tblGrid>
      <w:tr w14:paraId="0AB3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  <w:vAlign w:val="center"/>
          </w:tcPr>
          <w:p w14:paraId="51D84B2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92" w:type="dxa"/>
            <w:shd w:val="clear" w:color="auto" w:fill="DDEBF7"/>
            <w:vAlign w:val="center"/>
          </w:tcPr>
          <w:p w14:paraId="4C07D4E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  <w:vAlign w:val="center"/>
          </w:tcPr>
          <w:p w14:paraId="2F4BDB8A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PRIHODI </w:t>
            </w:r>
          </w:p>
        </w:tc>
        <w:tc>
          <w:tcPr>
            <w:tcW w:w="1108" w:type="dxa"/>
            <w:shd w:val="clear" w:color="auto" w:fill="DDEBF7"/>
          </w:tcPr>
          <w:p w14:paraId="5EE10A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>Plan za 202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>. (u eur)</w:t>
            </w:r>
          </w:p>
        </w:tc>
        <w:tc>
          <w:tcPr>
            <w:tcW w:w="1211" w:type="dxa"/>
            <w:gridSpan w:val="2"/>
            <w:shd w:val="clear" w:color="auto" w:fill="DDEBF7"/>
            <w:vAlign w:val="center"/>
          </w:tcPr>
          <w:p w14:paraId="3387C90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Realizacija</w:t>
            </w:r>
          </w:p>
          <w:p w14:paraId="192C501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2025.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</w:tr>
      <w:tr w14:paraId="3C2E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4DA5C19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 </w:t>
            </w:r>
          </w:p>
        </w:tc>
        <w:tc>
          <w:tcPr>
            <w:tcW w:w="592" w:type="dxa"/>
            <w:shd w:val="clear" w:color="auto" w:fill="DDEBF7"/>
          </w:tcPr>
          <w:p w14:paraId="19A5592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</w:tcPr>
          <w:p w14:paraId="6DC72CA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Izvorni prihodi </w:t>
            </w:r>
          </w:p>
        </w:tc>
        <w:tc>
          <w:tcPr>
            <w:tcW w:w="1108" w:type="dxa"/>
            <w:shd w:val="clear" w:color="auto" w:fill="DDEBF7"/>
          </w:tcPr>
          <w:p w14:paraId="39770F8A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20.300,00</w:t>
            </w:r>
          </w:p>
        </w:tc>
        <w:tc>
          <w:tcPr>
            <w:tcW w:w="1211" w:type="dxa"/>
            <w:gridSpan w:val="2"/>
            <w:shd w:val="clear" w:color="auto" w:fill="DDEBF7"/>
            <w:vAlign w:val="bottom"/>
          </w:tcPr>
          <w:p w14:paraId="3C3EAC74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  <w:t>17.995,99</w:t>
            </w:r>
          </w:p>
        </w:tc>
      </w:tr>
      <w:tr w14:paraId="7896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</w:tcPr>
          <w:p w14:paraId="03E2BB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92" w:type="dxa"/>
          </w:tcPr>
          <w:p w14:paraId="51AF5C0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1.1. </w:t>
            </w:r>
          </w:p>
        </w:tc>
        <w:tc>
          <w:tcPr>
            <w:tcW w:w="4572" w:type="dxa"/>
          </w:tcPr>
          <w:p w14:paraId="00BF096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Turistička pristojba </w:t>
            </w:r>
          </w:p>
        </w:tc>
        <w:tc>
          <w:tcPr>
            <w:tcW w:w="1108" w:type="dxa"/>
          </w:tcPr>
          <w:p w14:paraId="1CA47FA2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13.614,41</w:t>
            </w:r>
          </w:p>
        </w:tc>
        <w:tc>
          <w:tcPr>
            <w:tcW w:w="1211" w:type="dxa"/>
            <w:gridSpan w:val="2"/>
          </w:tcPr>
          <w:p w14:paraId="66A77BE4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12.004,00</w:t>
            </w:r>
          </w:p>
        </w:tc>
      </w:tr>
      <w:tr w14:paraId="1814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</w:tcPr>
          <w:p w14:paraId="1D24B27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92" w:type="dxa"/>
          </w:tcPr>
          <w:p w14:paraId="117CECD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1.2. </w:t>
            </w:r>
          </w:p>
        </w:tc>
        <w:tc>
          <w:tcPr>
            <w:tcW w:w="4572" w:type="dxa"/>
          </w:tcPr>
          <w:p w14:paraId="64BD6F1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Članarina </w:t>
            </w:r>
          </w:p>
        </w:tc>
        <w:tc>
          <w:tcPr>
            <w:tcW w:w="1108" w:type="dxa"/>
          </w:tcPr>
          <w:p w14:paraId="2BB76FA7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6.685,59</w:t>
            </w:r>
          </w:p>
        </w:tc>
        <w:tc>
          <w:tcPr>
            <w:tcW w:w="1211" w:type="dxa"/>
            <w:gridSpan w:val="2"/>
          </w:tcPr>
          <w:p w14:paraId="1F9E1837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5.991,99</w:t>
            </w:r>
          </w:p>
        </w:tc>
      </w:tr>
      <w:tr w14:paraId="7CD34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  <w:vAlign w:val="center"/>
          </w:tcPr>
          <w:p w14:paraId="113C9B9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  </w:t>
            </w:r>
          </w:p>
        </w:tc>
        <w:tc>
          <w:tcPr>
            <w:tcW w:w="592" w:type="dxa"/>
            <w:shd w:val="clear" w:color="auto" w:fill="DDEBF7"/>
            <w:vAlign w:val="center"/>
          </w:tcPr>
          <w:p w14:paraId="01058FF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  <w:vAlign w:val="center"/>
          </w:tcPr>
          <w:p w14:paraId="7D8B18B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Prihodi iz proračuna općine/grada/županije i državnog proračuna </w:t>
            </w:r>
          </w:p>
        </w:tc>
        <w:tc>
          <w:tcPr>
            <w:tcW w:w="1108" w:type="dxa"/>
            <w:shd w:val="clear" w:color="auto" w:fill="DDEBF7"/>
          </w:tcPr>
          <w:p w14:paraId="56FBC433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69.000,00</w:t>
            </w:r>
          </w:p>
        </w:tc>
        <w:tc>
          <w:tcPr>
            <w:tcW w:w="1211" w:type="dxa"/>
            <w:gridSpan w:val="2"/>
            <w:shd w:val="clear" w:color="auto" w:fill="DDEBF7"/>
            <w:vAlign w:val="bottom"/>
          </w:tcPr>
          <w:p w14:paraId="260D5CBB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63.333,20</w:t>
            </w:r>
          </w:p>
        </w:tc>
      </w:tr>
      <w:tr w14:paraId="0A89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0E1ED4E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 </w:t>
            </w:r>
          </w:p>
        </w:tc>
        <w:tc>
          <w:tcPr>
            <w:tcW w:w="592" w:type="dxa"/>
            <w:shd w:val="clear" w:color="auto" w:fill="DDEBF7"/>
          </w:tcPr>
          <w:p w14:paraId="6F87A96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</w:tcPr>
          <w:p w14:paraId="0ED683F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Prihodi od sustava turističkih zajednica  </w:t>
            </w:r>
          </w:p>
        </w:tc>
        <w:tc>
          <w:tcPr>
            <w:tcW w:w="1108" w:type="dxa"/>
            <w:shd w:val="clear" w:color="auto" w:fill="DDEBF7"/>
          </w:tcPr>
          <w:p w14:paraId="25019707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20.000,00</w:t>
            </w:r>
          </w:p>
        </w:tc>
        <w:tc>
          <w:tcPr>
            <w:tcW w:w="1211" w:type="dxa"/>
            <w:gridSpan w:val="2"/>
            <w:shd w:val="clear" w:color="auto" w:fill="DDEBF7"/>
          </w:tcPr>
          <w:p w14:paraId="28B66090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18.640,00</w:t>
            </w:r>
          </w:p>
        </w:tc>
      </w:tr>
      <w:tr w14:paraId="74B3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1364CB6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 </w:t>
            </w:r>
          </w:p>
        </w:tc>
        <w:tc>
          <w:tcPr>
            <w:tcW w:w="592" w:type="dxa"/>
            <w:shd w:val="clear" w:color="auto" w:fill="DDEBF7"/>
          </w:tcPr>
          <w:p w14:paraId="4F68F36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</w:tcPr>
          <w:p w14:paraId="598E7FB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Prihodi iz EU fondova </w:t>
            </w:r>
          </w:p>
        </w:tc>
        <w:tc>
          <w:tcPr>
            <w:tcW w:w="1108" w:type="dxa"/>
            <w:shd w:val="clear" w:color="auto" w:fill="DDEBF7"/>
          </w:tcPr>
          <w:p w14:paraId="364F8293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211" w:type="dxa"/>
            <w:gridSpan w:val="2"/>
            <w:shd w:val="clear" w:color="auto" w:fill="DDEBF7"/>
          </w:tcPr>
          <w:p w14:paraId="640EEBCB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7CB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3B1D84C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5. </w:t>
            </w:r>
          </w:p>
        </w:tc>
        <w:tc>
          <w:tcPr>
            <w:tcW w:w="592" w:type="dxa"/>
            <w:shd w:val="clear" w:color="auto" w:fill="DDEBF7"/>
          </w:tcPr>
          <w:p w14:paraId="3E2BA4D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4572" w:type="dxa"/>
            <w:shd w:val="clear" w:color="auto" w:fill="DDEBF7"/>
          </w:tcPr>
          <w:p w14:paraId="3179007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Prihodi od gospodarske djelatnosti </w:t>
            </w:r>
          </w:p>
        </w:tc>
        <w:tc>
          <w:tcPr>
            <w:tcW w:w="1108" w:type="dxa"/>
            <w:shd w:val="clear" w:color="auto" w:fill="DDEBF7"/>
          </w:tcPr>
          <w:p w14:paraId="692B3262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1211" w:type="dxa"/>
            <w:gridSpan w:val="2"/>
            <w:shd w:val="clear" w:color="auto" w:fill="DDEBF7"/>
          </w:tcPr>
          <w:p w14:paraId="6E1ABDCA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33E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4659FB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 </w:t>
            </w:r>
          </w:p>
        </w:tc>
        <w:tc>
          <w:tcPr>
            <w:tcW w:w="592" w:type="dxa"/>
            <w:shd w:val="clear" w:color="auto" w:fill="DDEBF7"/>
          </w:tcPr>
          <w:p w14:paraId="4C86283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4572" w:type="dxa"/>
            <w:shd w:val="clear" w:color="auto" w:fill="DDEBF7"/>
          </w:tcPr>
          <w:p w14:paraId="7FE1A3F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Preneseni prihod iz prethodne godine </w:t>
            </w:r>
          </w:p>
        </w:tc>
        <w:tc>
          <w:tcPr>
            <w:tcW w:w="1108" w:type="dxa"/>
            <w:shd w:val="clear" w:color="auto" w:fill="DDEBF7"/>
          </w:tcPr>
          <w:p w14:paraId="3F070D1C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900,00</w:t>
            </w:r>
          </w:p>
        </w:tc>
        <w:tc>
          <w:tcPr>
            <w:tcW w:w="1211" w:type="dxa"/>
            <w:gridSpan w:val="2"/>
            <w:shd w:val="clear" w:color="auto" w:fill="DDEBF7"/>
          </w:tcPr>
          <w:p w14:paraId="52FA5D78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7.046,07</w:t>
            </w:r>
          </w:p>
        </w:tc>
      </w:tr>
      <w:tr w14:paraId="141E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DDEBF7"/>
          </w:tcPr>
          <w:p w14:paraId="49E4878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7. </w:t>
            </w:r>
          </w:p>
        </w:tc>
        <w:tc>
          <w:tcPr>
            <w:tcW w:w="592" w:type="dxa"/>
            <w:shd w:val="clear" w:color="auto" w:fill="DDEBF7"/>
          </w:tcPr>
          <w:p w14:paraId="016C81A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4572" w:type="dxa"/>
            <w:shd w:val="clear" w:color="auto" w:fill="DDEBF7"/>
          </w:tcPr>
          <w:p w14:paraId="75B7B7C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Ostali prihodi </w:t>
            </w:r>
          </w:p>
        </w:tc>
        <w:tc>
          <w:tcPr>
            <w:tcW w:w="1108" w:type="dxa"/>
            <w:shd w:val="clear" w:color="auto" w:fill="DDEBF7"/>
          </w:tcPr>
          <w:p w14:paraId="3A5CA172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0,00</w:t>
            </w:r>
          </w:p>
        </w:tc>
        <w:tc>
          <w:tcPr>
            <w:tcW w:w="1211" w:type="dxa"/>
            <w:gridSpan w:val="2"/>
            <w:shd w:val="clear" w:color="auto" w:fill="DDEBF7"/>
          </w:tcPr>
          <w:p w14:paraId="57124AB1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10.670,51</w:t>
            </w:r>
          </w:p>
        </w:tc>
      </w:tr>
      <w:tr w14:paraId="25E2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5" w:type="dxa"/>
            <w:shd w:val="clear" w:color="auto" w:fill="003764"/>
          </w:tcPr>
          <w:p w14:paraId="11D70B0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592" w:type="dxa"/>
            <w:shd w:val="clear" w:color="auto" w:fill="003764"/>
          </w:tcPr>
          <w:p w14:paraId="6F89EA3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</w:p>
        </w:tc>
        <w:tc>
          <w:tcPr>
            <w:tcW w:w="4572" w:type="dxa"/>
            <w:shd w:val="clear" w:color="auto" w:fill="003764"/>
          </w:tcPr>
          <w:p w14:paraId="0A59D24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SVEUKUPNO  </w:t>
            </w:r>
          </w:p>
        </w:tc>
        <w:tc>
          <w:tcPr>
            <w:tcW w:w="1108" w:type="dxa"/>
            <w:shd w:val="clear" w:color="auto" w:fill="003764"/>
          </w:tcPr>
          <w:p w14:paraId="6A66CF9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  <w:t>110.200,00</w:t>
            </w:r>
          </w:p>
        </w:tc>
        <w:tc>
          <w:tcPr>
            <w:tcW w:w="90" w:type="dxa"/>
            <w:shd w:val="clear" w:color="auto" w:fill="003764"/>
          </w:tcPr>
          <w:p w14:paraId="038D38B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</w:p>
        </w:tc>
        <w:tc>
          <w:tcPr>
            <w:tcW w:w="1121" w:type="dxa"/>
            <w:shd w:val="clear" w:color="auto" w:fill="003764"/>
            <w:vAlign w:val="bottom"/>
          </w:tcPr>
          <w:p w14:paraId="12A90B5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val="en-US" w:eastAsia="hr-HR"/>
              </w:rPr>
              <w:t>117.685,77</w:t>
            </w:r>
          </w:p>
        </w:tc>
      </w:tr>
    </w:tbl>
    <w:p w14:paraId="563E6BF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1C2C4B6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572E642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6281F13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04C2181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0FD4E91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1763812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5E10284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406EB71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75D73CE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27C1AA3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475A6FC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7EE86B8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0EC3F0B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32D36DB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0ED8C2F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3FA426E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8"/>
        <w:gridCol w:w="620"/>
        <w:gridCol w:w="5057"/>
        <w:gridCol w:w="954"/>
        <w:gridCol w:w="1069"/>
      </w:tblGrid>
      <w:tr w14:paraId="07EA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  <w:vAlign w:val="center"/>
          </w:tcPr>
          <w:p w14:paraId="3D5B009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  <w:shd w:val="clear" w:color="auto" w:fill="DDEBF7"/>
            <w:vAlign w:val="center"/>
          </w:tcPr>
          <w:p w14:paraId="695160A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  <w:vAlign w:val="center"/>
          </w:tcPr>
          <w:p w14:paraId="7A7AEA9B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AKTIVNOSTI </w:t>
            </w:r>
          </w:p>
        </w:tc>
        <w:tc>
          <w:tcPr>
            <w:tcW w:w="954" w:type="dxa"/>
            <w:shd w:val="clear" w:color="auto" w:fill="DDEBF7"/>
          </w:tcPr>
          <w:p w14:paraId="03D53CBB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>Plan za 202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>. (u eur)</w:t>
            </w:r>
          </w:p>
        </w:tc>
        <w:tc>
          <w:tcPr>
            <w:tcW w:w="989" w:type="dxa"/>
            <w:shd w:val="clear" w:color="auto" w:fill="DDEBF7"/>
          </w:tcPr>
          <w:p w14:paraId="5D181039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Realizacija</w:t>
            </w:r>
          </w:p>
          <w:p w14:paraId="647F656A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en-US" w:eastAsia="hr-HR"/>
              </w:rPr>
              <w:t>2025.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</w:tr>
      <w:tr w14:paraId="70DE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5396208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 </w:t>
            </w:r>
          </w:p>
        </w:tc>
        <w:tc>
          <w:tcPr>
            <w:tcW w:w="620" w:type="dxa"/>
            <w:shd w:val="clear" w:color="auto" w:fill="DDEBF7"/>
          </w:tcPr>
          <w:p w14:paraId="53CD94B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23552C2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ISTRAŽIVANJE I STRATEŠKO PLANIRANJE  </w:t>
            </w:r>
          </w:p>
        </w:tc>
        <w:tc>
          <w:tcPr>
            <w:tcW w:w="954" w:type="dxa"/>
            <w:shd w:val="clear" w:color="auto" w:fill="DDEBF7"/>
          </w:tcPr>
          <w:p w14:paraId="209D579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12.000,00</w:t>
            </w:r>
          </w:p>
        </w:tc>
        <w:tc>
          <w:tcPr>
            <w:tcW w:w="989" w:type="dxa"/>
            <w:shd w:val="clear" w:color="auto" w:fill="DDEBF7"/>
          </w:tcPr>
          <w:p w14:paraId="3792E18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7B71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359E76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0217A6D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1.1. </w:t>
            </w:r>
          </w:p>
        </w:tc>
        <w:tc>
          <w:tcPr>
            <w:tcW w:w="5057" w:type="dxa"/>
          </w:tcPr>
          <w:p w14:paraId="7AE37CA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Izrada strateških/operativnih/komunikacijskih/akcijskih dokumenata </w:t>
            </w:r>
          </w:p>
        </w:tc>
        <w:tc>
          <w:tcPr>
            <w:tcW w:w="954" w:type="dxa"/>
          </w:tcPr>
          <w:p w14:paraId="1E01B8A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12.000,00</w:t>
            </w:r>
          </w:p>
        </w:tc>
        <w:tc>
          <w:tcPr>
            <w:tcW w:w="989" w:type="dxa"/>
            <w:vAlign w:val="bottom"/>
          </w:tcPr>
          <w:p w14:paraId="59E4C86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260E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FB90D4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62296E4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1.2. </w:t>
            </w:r>
          </w:p>
        </w:tc>
        <w:tc>
          <w:tcPr>
            <w:tcW w:w="5057" w:type="dxa"/>
          </w:tcPr>
          <w:p w14:paraId="1C24422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Istraživanje i analiza tržišta </w:t>
            </w:r>
          </w:p>
        </w:tc>
        <w:tc>
          <w:tcPr>
            <w:tcW w:w="954" w:type="dxa"/>
          </w:tcPr>
          <w:p w14:paraId="38E0F46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67E1D9F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35D06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3218C33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5812D85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1.3. </w:t>
            </w:r>
          </w:p>
        </w:tc>
        <w:tc>
          <w:tcPr>
            <w:tcW w:w="5057" w:type="dxa"/>
          </w:tcPr>
          <w:p w14:paraId="3375B3C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Mjerenje učinkovitosti promotivnih aktivnosti </w:t>
            </w:r>
          </w:p>
        </w:tc>
        <w:tc>
          <w:tcPr>
            <w:tcW w:w="954" w:type="dxa"/>
          </w:tcPr>
          <w:p w14:paraId="5FEAB9E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0EAC910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1882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5E3CA6C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 </w:t>
            </w:r>
          </w:p>
        </w:tc>
        <w:tc>
          <w:tcPr>
            <w:tcW w:w="620" w:type="dxa"/>
            <w:shd w:val="clear" w:color="auto" w:fill="DDEBF7"/>
          </w:tcPr>
          <w:p w14:paraId="328083D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53C5BFE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RAZVOJ TURISTIČKOG PROIZVODA </w:t>
            </w:r>
          </w:p>
        </w:tc>
        <w:tc>
          <w:tcPr>
            <w:tcW w:w="954" w:type="dxa"/>
            <w:shd w:val="clear" w:color="auto" w:fill="DDEBF7"/>
          </w:tcPr>
          <w:p w14:paraId="4AE8028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30.000,00</w:t>
            </w:r>
          </w:p>
        </w:tc>
        <w:tc>
          <w:tcPr>
            <w:tcW w:w="989" w:type="dxa"/>
            <w:shd w:val="clear" w:color="auto" w:fill="DDEBF7"/>
          </w:tcPr>
          <w:p w14:paraId="3338AAF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hr-HR"/>
              </w:rPr>
              <w:t>44.936,05</w:t>
            </w:r>
          </w:p>
        </w:tc>
      </w:tr>
      <w:tr w14:paraId="5C505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vAlign w:val="bottom"/>
          </w:tcPr>
          <w:p w14:paraId="2E2453A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620" w:type="dxa"/>
            <w:vAlign w:val="center"/>
          </w:tcPr>
          <w:p w14:paraId="4F80C9F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2.1. </w:t>
            </w:r>
          </w:p>
        </w:tc>
        <w:tc>
          <w:tcPr>
            <w:tcW w:w="5057" w:type="dxa"/>
          </w:tcPr>
          <w:p w14:paraId="358BF10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Identifikacija i vrednovanje resursa te strukturiranje turističkih proizvoda </w:t>
            </w:r>
          </w:p>
        </w:tc>
        <w:tc>
          <w:tcPr>
            <w:tcW w:w="954" w:type="dxa"/>
          </w:tcPr>
          <w:p w14:paraId="446A76F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  <w:vAlign w:val="bottom"/>
          </w:tcPr>
          <w:p w14:paraId="5F251F7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3303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5FF9B8F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58B7C95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2.2. </w:t>
            </w:r>
          </w:p>
        </w:tc>
        <w:tc>
          <w:tcPr>
            <w:tcW w:w="5057" w:type="dxa"/>
          </w:tcPr>
          <w:p w14:paraId="6B9C50F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Sustavi označavanja kvalitete turističkog proizvoda </w:t>
            </w:r>
          </w:p>
        </w:tc>
        <w:tc>
          <w:tcPr>
            <w:tcW w:w="954" w:type="dxa"/>
          </w:tcPr>
          <w:p w14:paraId="35F343E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22D6CD4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1009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03953AD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6143439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2.3. </w:t>
            </w:r>
          </w:p>
        </w:tc>
        <w:tc>
          <w:tcPr>
            <w:tcW w:w="5057" w:type="dxa"/>
          </w:tcPr>
          <w:p w14:paraId="45610ED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Podrška razvoju turističkih događanja </w:t>
            </w:r>
          </w:p>
        </w:tc>
        <w:tc>
          <w:tcPr>
            <w:tcW w:w="954" w:type="dxa"/>
          </w:tcPr>
          <w:p w14:paraId="37062FE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30.000,00</w:t>
            </w:r>
          </w:p>
        </w:tc>
        <w:tc>
          <w:tcPr>
            <w:tcW w:w="989" w:type="dxa"/>
          </w:tcPr>
          <w:p w14:paraId="27EEE21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hr-HR"/>
              </w:rPr>
              <w:t>44.936,05</w:t>
            </w:r>
          </w:p>
        </w:tc>
      </w:tr>
      <w:tr w14:paraId="1D53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6BB22BA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357D24A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2.4. </w:t>
            </w:r>
          </w:p>
        </w:tc>
        <w:tc>
          <w:tcPr>
            <w:tcW w:w="5057" w:type="dxa"/>
          </w:tcPr>
          <w:p w14:paraId="7D9674B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Turistička infrastruktura  </w:t>
            </w:r>
          </w:p>
        </w:tc>
        <w:tc>
          <w:tcPr>
            <w:tcW w:w="954" w:type="dxa"/>
          </w:tcPr>
          <w:p w14:paraId="7E27B7E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3C72C62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0713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1B7D81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1F5B1D6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2.5. </w:t>
            </w:r>
          </w:p>
        </w:tc>
        <w:tc>
          <w:tcPr>
            <w:tcW w:w="5057" w:type="dxa"/>
          </w:tcPr>
          <w:p w14:paraId="40B2D7B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Podrška turističkoj industriji  </w:t>
            </w:r>
          </w:p>
        </w:tc>
        <w:tc>
          <w:tcPr>
            <w:tcW w:w="954" w:type="dxa"/>
          </w:tcPr>
          <w:p w14:paraId="1B709A0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67ADAEB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42B7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757C1C3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 </w:t>
            </w:r>
          </w:p>
        </w:tc>
        <w:tc>
          <w:tcPr>
            <w:tcW w:w="620" w:type="dxa"/>
            <w:shd w:val="clear" w:color="auto" w:fill="DDEBF7"/>
          </w:tcPr>
          <w:p w14:paraId="6C6C7DA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2DF10E4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KOMUNIKACIJA I OGLAŠAVANJE </w:t>
            </w:r>
          </w:p>
        </w:tc>
        <w:tc>
          <w:tcPr>
            <w:tcW w:w="954" w:type="dxa"/>
            <w:shd w:val="clear" w:color="auto" w:fill="DDEBF7"/>
          </w:tcPr>
          <w:p w14:paraId="70A52E3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3.800,00</w:t>
            </w:r>
          </w:p>
        </w:tc>
        <w:tc>
          <w:tcPr>
            <w:tcW w:w="989" w:type="dxa"/>
            <w:shd w:val="clear" w:color="auto" w:fill="DDEBF7"/>
          </w:tcPr>
          <w:p w14:paraId="70B9EA9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12.828,14</w:t>
            </w:r>
          </w:p>
        </w:tc>
      </w:tr>
      <w:tr w14:paraId="4E2C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vAlign w:val="bottom"/>
          </w:tcPr>
          <w:p w14:paraId="30F4CA0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620" w:type="dxa"/>
          </w:tcPr>
          <w:p w14:paraId="5C90D0F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3.1. </w:t>
            </w:r>
          </w:p>
        </w:tc>
        <w:tc>
          <w:tcPr>
            <w:tcW w:w="5057" w:type="dxa"/>
          </w:tcPr>
          <w:p w14:paraId="7F63A8B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Sajmovi, posebne prezentacije i poslovne radionice </w:t>
            </w:r>
          </w:p>
        </w:tc>
        <w:tc>
          <w:tcPr>
            <w:tcW w:w="954" w:type="dxa"/>
          </w:tcPr>
          <w:p w14:paraId="673B298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  <w:vAlign w:val="bottom"/>
          </w:tcPr>
          <w:p w14:paraId="3B96B0C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1210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5B08733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3545F17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3.2. </w:t>
            </w:r>
          </w:p>
        </w:tc>
        <w:tc>
          <w:tcPr>
            <w:tcW w:w="5057" w:type="dxa"/>
          </w:tcPr>
          <w:p w14:paraId="3D07C1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Suradnja s organizatorima putovanja </w:t>
            </w:r>
          </w:p>
        </w:tc>
        <w:tc>
          <w:tcPr>
            <w:tcW w:w="954" w:type="dxa"/>
          </w:tcPr>
          <w:p w14:paraId="47C685E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3C501DA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317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2E3D34A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100B120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3.3. </w:t>
            </w:r>
          </w:p>
        </w:tc>
        <w:tc>
          <w:tcPr>
            <w:tcW w:w="5057" w:type="dxa"/>
          </w:tcPr>
          <w:p w14:paraId="0DAC01E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Kreiranje promotivnog materijala </w:t>
            </w:r>
          </w:p>
        </w:tc>
        <w:tc>
          <w:tcPr>
            <w:tcW w:w="954" w:type="dxa"/>
          </w:tcPr>
          <w:p w14:paraId="7A522FE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2.000,00</w:t>
            </w:r>
          </w:p>
        </w:tc>
        <w:tc>
          <w:tcPr>
            <w:tcW w:w="989" w:type="dxa"/>
          </w:tcPr>
          <w:p w14:paraId="626EDC8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11.828,14</w:t>
            </w:r>
          </w:p>
        </w:tc>
      </w:tr>
      <w:tr w14:paraId="02E8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03CC1B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24DC70A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3.4. </w:t>
            </w:r>
          </w:p>
        </w:tc>
        <w:tc>
          <w:tcPr>
            <w:tcW w:w="5057" w:type="dxa"/>
            <w:shd w:val="clear" w:color="auto" w:fill="auto"/>
            <w:vAlign w:val="top"/>
          </w:tcPr>
          <w:p w14:paraId="21C7128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hr-HR" w:eastAsia="hr-HR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Internetske stranice </w:t>
            </w:r>
          </w:p>
        </w:tc>
        <w:tc>
          <w:tcPr>
            <w:tcW w:w="954" w:type="dxa"/>
          </w:tcPr>
          <w:p w14:paraId="7C8F20B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600,00</w:t>
            </w:r>
          </w:p>
        </w:tc>
        <w:tc>
          <w:tcPr>
            <w:tcW w:w="989" w:type="dxa"/>
          </w:tcPr>
          <w:p w14:paraId="53078E3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1.000,00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 </w:t>
            </w:r>
          </w:p>
        </w:tc>
      </w:tr>
      <w:tr w14:paraId="68C9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1E0404A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4877900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3.5. </w:t>
            </w:r>
          </w:p>
        </w:tc>
        <w:tc>
          <w:tcPr>
            <w:tcW w:w="5057" w:type="dxa"/>
          </w:tcPr>
          <w:p w14:paraId="146CB47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Kreiranje i upravljanje bazama turističkih podataka  </w:t>
            </w:r>
          </w:p>
        </w:tc>
        <w:tc>
          <w:tcPr>
            <w:tcW w:w="954" w:type="dxa"/>
          </w:tcPr>
          <w:p w14:paraId="2B90B98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460F5E4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3439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4ABD6A2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35980A4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3.6. </w:t>
            </w:r>
          </w:p>
        </w:tc>
        <w:tc>
          <w:tcPr>
            <w:tcW w:w="5057" w:type="dxa"/>
          </w:tcPr>
          <w:p w14:paraId="7E44328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Turističko-informativne aktivnosti </w:t>
            </w:r>
          </w:p>
        </w:tc>
        <w:tc>
          <w:tcPr>
            <w:tcW w:w="954" w:type="dxa"/>
          </w:tcPr>
          <w:p w14:paraId="4A0E1A0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1.200,00</w:t>
            </w:r>
          </w:p>
        </w:tc>
        <w:tc>
          <w:tcPr>
            <w:tcW w:w="989" w:type="dxa"/>
          </w:tcPr>
          <w:p w14:paraId="3174A2D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D4D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23F619F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 </w:t>
            </w:r>
          </w:p>
        </w:tc>
        <w:tc>
          <w:tcPr>
            <w:tcW w:w="620" w:type="dxa"/>
            <w:shd w:val="clear" w:color="auto" w:fill="DDEBF7"/>
          </w:tcPr>
          <w:p w14:paraId="10D9D13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4D207C6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DESTINACIJSKI MENADŽMENT </w:t>
            </w:r>
          </w:p>
        </w:tc>
        <w:tc>
          <w:tcPr>
            <w:tcW w:w="954" w:type="dxa"/>
            <w:shd w:val="clear" w:color="auto" w:fill="DDEBF7"/>
          </w:tcPr>
          <w:p w14:paraId="15FED06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  <w:shd w:val="clear" w:color="auto" w:fill="DDEBF7"/>
          </w:tcPr>
          <w:p w14:paraId="4409ED4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2D82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F8310B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61E6BD7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4.1. </w:t>
            </w:r>
          </w:p>
        </w:tc>
        <w:tc>
          <w:tcPr>
            <w:tcW w:w="5057" w:type="dxa"/>
          </w:tcPr>
          <w:p w14:paraId="32F0E77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Turistički informacijski sustavi i aplikacije /eVisitor </w:t>
            </w:r>
          </w:p>
        </w:tc>
        <w:tc>
          <w:tcPr>
            <w:tcW w:w="954" w:type="dxa"/>
          </w:tcPr>
          <w:p w14:paraId="7F682B5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  <w:vAlign w:val="bottom"/>
          </w:tcPr>
          <w:p w14:paraId="4F19C1C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06B9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424ACF9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0395F90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4.2. </w:t>
            </w:r>
          </w:p>
        </w:tc>
        <w:tc>
          <w:tcPr>
            <w:tcW w:w="5057" w:type="dxa"/>
          </w:tcPr>
          <w:p w14:paraId="1FB7548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Stručni skupovi i edukacije </w:t>
            </w:r>
          </w:p>
        </w:tc>
        <w:tc>
          <w:tcPr>
            <w:tcW w:w="954" w:type="dxa"/>
          </w:tcPr>
          <w:p w14:paraId="5C02D80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  <w:vAlign w:val="bottom"/>
          </w:tcPr>
          <w:p w14:paraId="07E36D5D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03FF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4FCC1D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65D8926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4.3. </w:t>
            </w:r>
          </w:p>
        </w:tc>
        <w:tc>
          <w:tcPr>
            <w:tcW w:w="5057" w:type="dxa"/>
          </w:tcPr>
          <w:p w14:paraId="38EA46E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Koordinacija i nadzor </w:t>
            </w:r>
          </w:p>
        </w:tc>
        <w:tc>
          <w:tcPr>
            <w:tcW w:w="954" w:type="dxa"/>
          </w:tcPr>
          <w:p w14:paraId="10D5718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16907E2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72D3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5076240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620" w:type="dxa"/>
          </w:tcPr>
          <w:p w14:paraId="718951A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4.4. </w:t>
            </w:r>
          </w:p>
        </w:tc>
        <w:tc>
          <w:tcPr>
            <w:tcW w:w="5057" w:type="dxa"/>
          </w:tcPr>
          <w:p w14:paraId="104D7E7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Upravljanje kvalitetom u destinaciji </w:t>
            </w:r>
          </w:p>
        </w:tc>
        <w:tc>
          <w:tcPr>
            <w:tcW w:w="954" w:type="dxa"/>
          </w:tcPr>
          <w:p w14:paraId="7B2F75B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530DEBE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07D9F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1AEB815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620" w:type="dxa"/>
          </w:tcPr>
          <w:p w14:paraId="468B013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4.5. </w:t>
            </w:r>
          </w:p>
        </w:tc>
        <w:tc>
          <w:tcPr>
            <w:tcW w:w="5057" w:type="dxa"/>
          </w:tcPr>
          <w:p w14:paraId="1FD7056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Poticanje na očuvanje i uređenje okoliša </w:t>
            </w:r>
          </w:p>
        </w:tc>
        <w:tc>
          <w:tcPr>
            <w:tcW w:w="954" w:type="dxa"/>
          </w:tcPr>
          <w:p w14:paraId="75211AA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2D4FC5B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668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1673EB9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5. </w:t>
            </w:r>
          </w:p>
        </w:tc>
        <w:tc>
          <w:tcPr>
            <w:tcW w:w="620" w:type="dxa"/>
            <w:shd w:val="clear" w:color="auto" w:fill="DDEBF7"/>
          </w:tcPr>
          <w:p w14:paraId="7BD7681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012E44D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ČLANSTVO U STRUKOVNIM ORGANIZACIJAMA </w:t>
            </w:r>
          </w:p>
        </w:tc>
        <w:tc>
          <w:tcPr>
            <w:tcW w:w="954" w:type="dxa"/>
            <w:shd w:val="clear" w:color="auto" w:fill="DDEBF7"/>
          </w:tcPr>
          <w:p w14:paraId="253AFDB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  <w:shd w:val="clear" w:color="auto" w:fill="DDEBF7"/>
          </w:tcPr>
          <w:p w14:paraId="2BC09FD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420F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44AC7BA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2CB1711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5.1. </w:t>
            </w:r>
          </w:p>
        </w:tc>
        <w:tc>
          <w:tcPr>
            <w:tcW w:w="5057" w:type="dxa"/>
          </w:tcPr>
          <w:p w14:paraId="0FA91A4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Međunarodne strukovne i sl. organizacije </w:t>
            </w:r>
          </w:p>
        </w:tc>
        <w:tc>
          <w:tcPr>
            <w:tcW w:w="954" w:type="dxa"/>
          </w:tcPr>
          <w:p w14:paraId="72872A0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6FB50CA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138E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3DDB222C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080EE83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5.2. </w:t>
            </w:r>
          </w:p>
        </w:tc>
        <w:tc>
          <w:tcPr>
            <w:tcW w:w="5057" w:type="dxa"/>
          </w:tcPr>
          <w:p w14:paraId="087BEB7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Domaće strukovne i sl. organizacije </w:t>
            </w:r>
          </w:p>
        </w:tc>
        <w:tc>
          <w:tcPr>
            <w:tcW w:w="954" w:type="dxa"/>
          </w:tcPr>
          <w:p w14:paraId="205DC7A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6578FC0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28C3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37692D6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 </w:t>
            </w:r>
          </w:p>
        </w:tc>
        <w:tc>
          <w:tcPr>
            <w:tcW w:w="620" w:type="dxa"/>
            <w:shd w:val="clear" w:color="auto" w:fill="DDEBF7"/>
          </w:tcPr>
          <w:p w14:paraId="245BC08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55442CF1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ADMINISTRATIVNI POSLOVI </w:t>
            </w:r>
          </w:p>
        </w:tc>
        <w:tc>
          <w:tcPr>
            <w:tcW w:w="954" w:type="dxa"/>
            <w:shd w:val="clear" w:color="auto" w:fill="DDEBF7"/>
          </w:tcPr>
          <w:p w14:paraId="51C24B9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hr-HR" w:eastAsia="zh-CN" w:bidi="ar"/>
              </w:rPr>
              <w:t>31.700,00</w:t>
            </w:r>
          </w:p>
        </w:tc>
        <w:tc>
          <w:tcPr>
            <w:tcW w:w="989" w:type="dxa"/>
            <w:shd w:val="clear" w:color="auto" w:fill="DDEBF7"/>
          </w:tcPr>
          <w:p w14:paraId="6118F8C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66.727,06</w:t>
            </w:r>
          </w:p>
        </w:tc>
      </w:tr>
      <w:tr w14:paraId="193D8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7F17BE4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521B66F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6.1. </w:t>
            </w:r>
          </w:p>
        </w:tc>
        <w:tc>
          <w:tcPr>
            <w:tcW w:w="5057" w:type="dxa"/>
          </w:tcPr>
          <w:p w14:paraId="277921B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Plaće </w:t>
            </w:r>
          </w:p>
        </w:tc>
        <w:tc>
          <w:tcPr>
            <w:tcW w:w="954" w:type="dxa"/>
          </w:tcPr>
          <w:p w14:paraId="4905E7F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hr-HR"/>
              </w:rPr>
              <w:t>24.800,00</w:t>
            </w:r>
          </w:p>
        </w:tc>
        <w:tc>
          <w:tcPr>
            <w:tcW w:w="989" w:type="dxa"/>
          </w:tcPr>
          <w:p w14:paraId="2E9395D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hr-HR"/>
              </w:rPr>
              <w:t>25.892,91</w:t>
            </w:r>
          </w:p>
        </w:tc>
      </w:tr>
      <w:tr w14:paraId="2585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68A0F04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3D9B2F6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6.2. </w:t>
            </w:r>
          </w:p>
        </w:tc>
        <w:tc>
          <w:tcPr>
            <w:tcW w:w="5057" w:type="dxa"/>
          </w:tcPr>
          <w:p w14:paraId="6426CAF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Materijalni troškovi </w:t>
            </w:r>
          </w:p>
        </w:tc>
        <w:tc>
          <w:tcPr>
            <w:tcW w:w="954" w:type="dxa"/>
          </w:tcPr>
          <w:p w14:paraId="7EFA7C9F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hr-HR" w:eastAsia="zh-CN" w:bidi="ar"/>
              </w:rPr>
              <w:t>1.900,00</w:t>
            </w:r>
          </w:p>
        </w:tc>
        <w:tc>
          <w:tcPr>
            <w:tcW w:w="989" w:type="dxa"/>
          </w:tcPr>
          <w:p w14:paraId="4EBA341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40.834,15</w:t>
            </w:r>
          </w:p>
        </w:tc>
      </w:tr>
      <w:tr w14:paraId="14D6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4ED565D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1FE682F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6.3. </w:t>
            </w:r>
          </w:p>
        </w:tc>
        <w:tc>
          <w:tcPr>
            <w:tcW w:w="5057" w:type="dxa"/>
          </w:tcPr>
          <w:p w14:paraId="73CE2E3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Tijela turističke zajednice </w:t>
            </w:r>
          </w:p>
        </w:tc>
        <w:tc>
          <w:tcPr>
            <w:tcW w:w="954" w:type="dxa"/>
          </w:tcPr>
          <w:p w14:paraId="01363E9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  <w:tc>
          <w:tcPr>
            <w:tcW w:w="989" w:type="dxa"/>
          </w:tcPr>
          <w:p w14:paraId="0BDE304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329A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</w:tcPr>
          <w:p w14:paraId="04E039C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620" w:type="dxa"/>
          </w:tcPr>
          <w:p w14:paraId="34C5318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6.4. </w:t>
            </w:r>
          </w:p>
        </w:tc>
        <w:tc>
          <w:tcPr>
            <w:tcW w:w="5057" w:type="dxa"/>
          </w:tcPr>
          <w:p w14:paraId="509DD7A0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Troškovi poslovanja mreže predstavništava/ ispostava </w:t>
            </w:r>
          </w:p>
        </w:tc>
        <w:tc>
          <w:tcPr>
            <w:tcW w:w="954" w:type="dxa"/>
          </w:tcPr>
          <w:p w14:paraId="6CABBE7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</w:tcPr>
          <w:p w14:paraId="1A93CC0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0AEE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62638EB2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7. </w:t>
            </w:r>
          </w:p>
        </w:tc>
        <w:tc>
          <w:tcPr>
            <w:tcW w:w="620" w:type="dxa"/>
            <w:shd w:val="clear" w:color="auto" w:fill="DDEBF7"/>
          </w:tcPr>
          <w:p w14:paraId="67AC5E8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2E84818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REZERVA  </w:t>
            </w:r>
          </w:p>
        </w:tc>
        <w:tc>
          <w:tcPr>
            <w:tcW w:w="954" w:type="dxa"/>
            <w:shd w:val="clear" w:color="auto" w:fill="DDEBF7"/>
          </w:tcPr>
          <w:p w14:paraId="2654B366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  <w:shd w:val="clear" w:color="auto" w:fill="DDEBF7"/>
          </w:tcPr>
          <w:p w14:paraId="19E987F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4B2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DDEBF7"/>
          </w:tcPr>
          <w:p w14:paraId="13B8C008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8. </w:t>
            </w:r>
          </w:p>
        </w:tc>
        <w:tc>
          <w:tcPr>
            <w:tcW w:w="620" w:type="dxa"/>
            <w:shd w:val="clear" w:color="auto" w:fill="DDEBF7"/>
          </w:tcPr>
          <w:p w14:paraId="3BB1C453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5057" w:type="dxa"/>
            <w:shd w:val="clear" w:color="auto" w:fill="DDEBF7"/>
          </w:tcPr>
          <w:p w14:paraId="21914CEE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hr-HR"/>
              </w:rPr>
              <w:t xml:space="preserve">POKRIVANJE MANJKA PRIHODA IZ PRETHODNE GODINE </w:t>
            </w:r>
          </w:p>
        </w:tc>
        <w:tc>
          <w:tcPr>
            <w:tcW w:w="954" w:type="dxa"/>
            <w:shd w:val="clear" w:color="auto" w:fill="DDEBF7"/>
          </w:tcPr>
          <w:p w14:paraId="76E59BD7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989" w:type="dxa"/>
            <w:shd w:val="clear" w:color="auto" w:fill="DDEBF7"/>
            <w:vAlign w:val="bottom"/>
          </w:tcPr>
          <w:p w14:paraId="57526BC9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hr-HR"/>
              </w:rPr>
              <w:t>0,00</w:t>
            </w:r>
          </w:p>
        </w:tc>
      </w:tr>
      <w:tr w14:paraId="50F15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8" w:type="dxa"/>
            <w:shd w:val="clear" w:color="auto" w:fill="003764"/>
          </w:tcPr>
          <w:p w14:paraId="0181930B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620" w:type="dxa"/>
            <w:shd w:val="clear" w:color="auto" w:fill="003764"/>
          </w:tcPr>
          <w:p w14:paraId="1CA0C815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</w:p>
        </w:tc>
        <w:tc>
          <w:tcPr>
            <w:tcW w:w="5057" w:type="dxa"/>
            <w:shd w:val="clear" w:color="auto" w:fill="003764"/>
          </w:tcPr>
          <w:p w14:paraId="672EB5DA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SVEUKUPNO 1 </w:t>
            </w:r>
          </w:p>
        </w:tc>
        <w:tc>
          <w:tcPr>
            <w:tcW w:w="954" w:type="dxa"/>
            <w:shd w:val="clear" w:color="auto" w:fill="003764"/>
          </w:tcPr>
          <w:p w14:paraId="775FF297">
            <w:pPr>
              <w:spacing w:after="0" w:line="254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val="hr-HR" w:eastAsia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  <w:lang w:val="hr-HR"/>
              </w:rPr>
              <w:t>77.500,00</w:t>
            </w:r>
          </w:p>
        </w:tc>
        <w:tc>
          <w:tcPr>
            <w:tcW w:w="989" w:type="dxa"/>
            <w:shd w:val="clear" w:color="auto" w:fill="003764"/>
            <w:vAlign w:val="bottom"/>
          </w:tcPr>
          <w:p w14:paraId="27FA0BE4">
            <w:pPr>
              <w:spacing w:after="0" w:line="254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eastAsia="hr-H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FFFFFF"/>
                <w:sz w:val="22"/>
                <w:szCs w:val="22"/>
                <w:lang w:val="en-US" w:eastAsia="hr-HR"/>
              </w:rPr>
              <w:t>125.149,84</w:t>
            </w:r>
          </w:p>
        </w:tc>
      </w:tr>
    </w:tbl>
    <w:p w14:paraId="58D3CD0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lef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</w:p>
    <w:p w14:paraId="68AF32AC">
      <w:pPr>
        <w:pStyle w:val="12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IZMJENE I DOPUNE FINANCIJSKOG PLANA ZA 2025. GODINU</w:t>
      </w:r>
    </w:p>
    <w:p w14:paraId="5E5F5472">
      <w:pPr>
        <w:pStyle w:val="2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1. PRIHODI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353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DB7E124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PRIHODI</w:t>
            </w:r>
          </w:p>
        </w:tc>
        <w:tc>
          <w:tcPr>
            <w:tcW w:w="2880" w:type="dxa"/>
          </w:tcPr>
          <w:p w14:paraId="2D416F4D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PLAN (€)</w:t>
            </w:r>
          </w:p>
        </w:tc>
        <w:tc>
          <w:tcPr>
            <w:tcW w:w="2880" w:type="dxa"/>
          </w:tcPr>
          <w:p w14:paraId="4B8426D8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REBALANS (€)</w:t>
            </w:r>
          </w:p>
        </w:tc>
      </w:tr>
      <w:tr w14:paraId="564B9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B108C7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Izvorni prihodi</w:t>
            </w:r>
          </w:p>
        </w:tc>
        <w:tc>
          <w:tcPr>
            <w:tcW w:w="2880" w:type="dxa"/>
          </w:tcPr>
          <w:p w14:paraId="7DE6B770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20.300,00</w:t>
            </w:r>
          </w:p>
        </w:tc>
        <w:tc>
          <w:tcPr>
            <w:tcW w:w="2880" w:type="dxa"/>
          </w:tcPr>
          <w:p w14:paraId="6FE16D61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17.995,99</w:t>
            </w:r>
          </w:p>
        </w:tc>
      </w:tr>
      <w:tr w14:paraId="4E938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59F5863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Turistička pristojba</w:t>
            </w:r>
          </w:p>
        </w:tc>
        <w:tc>
          <w:tcPr>
            <w:tcW w:w="2880" w:type="dxa"/>
          </w:tcPr>
          <w:p w14:paraId="2F6CDBAA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13.614,41</w:t>
            </w:r>
          </w:p>
        </w:tc>
        <w:tc>
          <w:tcPr>
            <w:tcW w:w="2880" w:type="dxa"/>
          </w:tcPr>
          <w:p w14:paraId="0429704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12.004,00</w:t>
            </w:r>
          </w:p>
        </w:tc>
      </w:tr>
      <w:tr w14:paraId="33AE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2CE7BA3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Članarina</w:t>
            </w:r>
          </w:p>
        </w:tc>
        <w:tc>
          <w:tcPr>
            <w:tcW w:w="2880" w:type="dxa"/>
          </w:tcPr>
          <w:p w14:paraId="66F7A704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6.685,59</w:t>
            </w:r>
          </w:p>
        </w:tc>
        <w:tc>
          <w:tcPr>
            <w:tcW w:w="2880" w:type="dxa"/>
          </w:tcPr>
          <w:p w14:paraId="513C181D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5.991,99</w:t>
            </w:r>
          </w:p>
        </w:tc>
      </w:tr>
      <w:tr w14:paraId="51BDC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A9DFA6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Prihodi iz proračuna</w:t>
            </w:r>
          </w:p>
        </w:tc>
        <w:tc>
          <w:tcPr>
            <w:tcW w:w="2880" w:type="dxa"/>
          </w:tcPr>
          <w:p w14:paraId="5BC1F859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69.000,00</w:t>
            </w:r>
          </w:p>
        </w:tc>
        <w:tc>
          <w:tcPr>
            <w:tcW w:w="2880" w:type="dxa"/>
          </w:tcPr>
          <w:p w14:paraId="5D8AEAF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63.333,20</w:t>
            </w:r>
          </w:p>
        </w:tc>
      </w:tr>
      <w:tr w14:paraId="507D4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104D31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Prihodi iz sustava TZ</w:t>
            </w:r>
          </w:p>
        </w:tc>
        <w:tc>
          <w:tcPr>
            <w:tcW w:w="2880" w:type="dxa"/>
          </w:tcPr>
          <w:p w14:paraId="1C57989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20.000,00</w:t>
            </w:r>
          </w:p>
        </w:tc>
        <w:tc>
          <w:tcPr>
            <w:tcW w:w="2880" w:type="dxa"/>
          </w:tcPr>
          <w:p w14:paraId="39FF14B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18.640,00</w:t>
            </w:r>
          </w:p>
        </w:tc>
      </w:tr>
      <w:tr w14:paraId="4339A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76A6992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EU fondovi</w:t>
            </w:r>
          </w:p>
        </w:tc>
        <w:tc>
          <w:tcPr>
            <w:tcW w:w="2880" w:type="dxa"/>
          </w:tcPr>
          <w:p w14:paraId="32546DB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2DF4AAC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50B64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B0F5F7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Gospodarska djelatnost</w:t>
            </w:r>
          </w:p>
        </w:tc>
        <w:tc>
          <w:tcPr>
            <w:tcW w:w="2880" w:type="dxa"/>
          </w:tcPr>
          <w:p w14:paraId="3C24BA91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2FAF5350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2386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5CD1FE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Preneseni prihod</w:t>
            </w:r>
          </w:p>
        </w:tc>
        <w:tc>
          <w:tcPr>
            <w:tcW w:w="2880" w:type="dxa"/>
          </w:tcPr>
          <w:p w14:paraId="3E1A180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900,00</w:t>
            </w:r>
          </w:p>
        </w:tc>
        <w:tc>
          <w:tcPr>
            <w:tcW w:w="2880" w:type="dxa"/>
          </w:tcPr>
          <w:p w14:paraId="2B167761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7.046,07</w:t>
            </w:r>
          </w:p>
        </w:tc>
      </w:tr>
      <w:tr w14:paraId="4EB2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FAB30E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Ostali prihodi</w:t>
            </w:r>
          </w:p>
        </w:tc>
        <w:tc>
          <w:tcPr>
            <w:tcW w:w="2880" w:type="dxa"/>
          </w:tcPr>
          <w:p w14:paraId="4A41295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008812D2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10.670,51</w:t>
            </w:r>
          </w:p>
        </w:tc>
      </w:tr>
      <w:tr w14:paraId="1768C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31BEC17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UKUPNO</w:t>
            </w:r>
          </w:p>
        </w:tc>
        <w:tc>
          <w:tcPr>
            <w:tcW w:w="2880" w:type="dxa"/>
          </w:tcPr>
          <w:p w14:paraId="75E18105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110.200,00</w:t>
            </w:r>
          </w:p>
        </w:tc>
        <w:tc>
          <w:tcPr>
            <w:tcW w:w="2880" w:type="dxa"/>
          </w:tcPr>
          <w:p w14:paraId="22734BB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117.685,77</w:t>
            </w:r>
          </w:p>
        </w:tc>
      </w:tr>
    </w:tbl>
    <w:p w14:paraId="0CBA38AB">
      <w:pPr>
        <w:pStyle w:val="2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2. RASHODI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050E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0C7D4C0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RASHODI</w:t>
            </w:r>
          </w:p>
        </w:tc>
        <w:tc>
          <w:tcPr>
            <w:tcW w:w="2880" w:type="dxa"/>
          </w:tcPr>
          <w:p w14:paraId="61B43475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PLAN (€)</w:t>
            </w:r>
          </w:p>
        </w:tc>
        <w:tc>
          <w:tcPr>
            <w:tcW w:w="2880" w:type="dxa"/>
          </w:tcPr>
          <w:p w14:paraId="4F8431D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REBALANS (€)</w:t>
            </w:r>
          </w:p>
        </w:tc>
      </w:tr>
      <w:tr w14:paraId="7D357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D5DBCB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Istraživanje i strateško planiranje</w:t>
            </w:r>
          </w:p>
        </w:tc>
        <w:tc>
          <w:tcPr>
            <w:tcW w:w="2880" w:type="dxa"/>
          </w:tcPr>
          <w:p w14:paraId="22956A4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12.000,00</w:t>
            </w:r>
          </w:p>
        </w:tc>
        <w:tc>
          <w:tcPr>
            <w:tcW w:w="2880" w:type="dxa"/>
          </w:tcPr>
          <w:p w14:paraId="2C4B5DC2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765F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68EBE38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Razvoj turističkog proizvoda</w:t>
            </w:r>
          </w:p>
        </w:tc>
        <w:tc>
          <w:tcPr>
            <w:tcW w:w="2880" w:type="dxa"/>
          </w:tcPr>
          <w:p w14:paraId="7CB04DD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30.000,00</w:t>
            </w:r>
          </w:p>
        </w:tc>
        <w:tc>
          <w:tcPr>
            <w:tcW w:w="2880" w:type="dxa"/>
          </w:tcPr>
          <w:p w14:paraId="2470C680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44.936,05</w:t>
            </w:r>
          </w:p>
        </w:tc>
      </w:tr>
      <w:tr w14:paraId="0DFE6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C77EB1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Komunikacija i oglašavanje</w:t>
            </w:r>
          </w:p>
        </w:tc>
        <w:tc>
          <w:tcPr>
            <w:tcW w:w="2880" w:type="dxa"/>
          </w:tcPr>
          <w:p w14:paraId="4A7A1041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3.800,00</w:t>
            </w:r>
          </w:p>
        </w:tc>
        <w:tc>
          <w:tcPr>
            <w:tcW w:w="2880" w:type="dxa"/>
          </w:tcPr>
          <w:p w14:paraId="4B32CC1A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12.828,14</w:t>
            </w:r>
          </w:p>
        </w:tc>
      </w:tr>
      <w:tr w14:paraId="0F449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BB573C3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Destinacijski menadžment</w:t>
            </w:r>
          </w:p>
        </w:tc>
        <w:tc>
          <w:tcPr>
            <w:tcW w:w="2880" w:type="dxa"/>
          </w:tcPr>
          <w:p w14:paraId="27445F56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68CAC242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2D01D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067A05E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Članstvo u organizacijama</w:t>
            </w:r>
          </w:p>
        </w:tc>
        <w:tc>
          <w:tcPr>
            <w:tcW w:w="2880" w:type="dxa"/>
          </w:tcPr>
          <w:p w14:paraId="225CD504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2579148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7CDDC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1EB17FA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Administrativni poslovi</w:t>
            </w:r>
          </w:p>
        </w:tc>
        <w:tc>
          <w:tcPr>
            <w:tcW w:w="2880" w:type="dxa"/>
          </w:tcPr>
          <w:p w14:paraId="2756AC6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31.700,00</w:t>
            </w:r>
          </w:p>
        </w:tc>
        <w:tc>
          <w:tcPr>
            <w:tcW w:w="2880" w:type="dxa"/>
          </w:tcPr>
          <w:p w14:paraId="7529779C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66.727,06</w:t>
            </w:r>
          </w:p>
        </w:tc>
      </w:tr>
      <w:tr w14:paraId="228D6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7B510F3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Rezerva</w:t>
            </w:r>
          </w:p>
        </w:tc>
        <w:tc>
          <w:tcPr>
            <w:tcW w:w="2880" w:type="dxa"/>
          </w:tcPr>
          <w:p w14:paraId="7A16CA1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14:paraId="3E9FAF60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14:paraId="5F029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29D7AFF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UKUPNO</w:t>
            </w:r>
          </w:p>
        </w:tc>
        <w:tc>
          <w:tcPr>
            <w:tcW w:w="2880" w:type="dxa"/>
          </w:tcPr>
          <w:p w14:paraId="7EDF8521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77.500,00</w:t>
            </w:r>
          </w:p>
        </w:tc>
        <w:tc>
          <w:tcPr>
            <w:tcW w:w="2880" w:type="dxa"/>
          </w:tcPr>
          <w:p w14:paraId="54A96F08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125.149,84</w:t>
            </w:r>
          </w:p>
        </w:tc>
      </w:tr>
    </w:tbl>
    <w:p w14:paraId="77572692">
      <w:pPr>
        <w:pStyle w:val="2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3. OBRAZLOŽENJE</w:t>
      </w:r>
    </w:p>
    <w:p w14:paraId="14C53B96">
      <w:pPr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Ukupni prihodi u 2025. godini ostvareni su u iznosu od 117.685,77 €, dok su rashodi ostvareni u iznosu od 125.149,84 €. Razlika između prihoda i rashoda iznosi 7.464,07 € te predstavlja manjak koji se pokriva iz prenesenih sredstava iz prethodnih godina.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Tijekom godine došlo je do odstupanja u planiranim stavkama, osobito kod razvoja turističkog proizvoda, komunikacije i oglašavanja te administrativnih poslova, gdje je zabilježeno povećanje rashoda u odnosu na plan. Istovremeno su pojedine aktivnosti planirane u okviru istraživanja i strateškog planiranja ostale nerealizirane.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Sukladno navedenom izvršeno je usklađenje financijskog plana kroz Izmjene i dopune za 2025. godinu.</w:t>
      </w:r>
    </w:p>
    <w:p w14:paraId="52AF40B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0" w:afterAutospacing="0" w:line="256" w:lineRule="auto"/>
        <w:ind w:leftChars="0" w:right="0" w:rightChars="0"/>
        <w:jc w:val="righ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Stručni suradnik TZO Šestanovac</w:t>
      </w:r>
    </w:p>
    <w:p w14:paraId="4CE8A4C8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160" w:afterAutospacing="0" w:line="256" w:lineRule="auto"/>
        <w:ind w:leftChars="0" w:right="0" w:rightChars="0"/>
        <w:jc w:val="right"/>
        <w:rPr>
          <w:rFonts w:hint="default" w:ascii="Times New Roman" w:hAnsi="Times New Roman" w:eastAsia="SimSun" w:cs="Times New Roman"/>
          <w:sz w:val="22"/>
          <w:szCs w:val="22"/>
          <w:lang w:val="hr-H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hr-HR"/>
        </w:rPr>
        <w:t>Anđela Ivandić</w:t>
      </w:r>
    </w:p>
    <w:sectPr>
      <w:headerReference r:id="rId3" w:type="default"/>
      <w:footerReference r:id="rId4" w:type="default"/>
      <w:pgSz w:w="11906" w:h="16838"/>
      <w:pgMar w:top="1417" w:right="1417" w:bottom="1417" w:left="1417" w:header="708" w:footer="708" w:gutter="0"/>
      <w:pgNumType w:fmt="decimal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56039">
    <w:pPr>
      <w:pStyle w:val="6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B4E0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IGsbUA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B4E0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Upisana u upisnik turističkih zajednica br.321, RNO broj:041536, MB:04773748. IBAN:HR5010010051744304747 kod OTP BANKA d.d., e-mail: </w:t>
    </w:r>
    <w:r>
      <w:fldChar w:fldCharType="begin"/>
    </w:r>
    <w:r>
      <w:instrText xml:space="preserve"> HYPERLINK "mailto:tz.sestanovac@gmail.com" </w:instrText>
    </w:r>
    <w:r>
      <w:fldChar w:fldCharType="separate"/>
    </w:r>
    <w:r>
      <w:rPr>
        <w:rStyle w:val="8"/>
        <w:sz w:val="18"/>
        <w:szCs w:val="18"/>
      </w:rPr>
      <w:t>tz.sestanovac@gmail.com</w:t>
    </w:r>
    <w:r>
      <w:rPr>
        <w:rStyle w:val="8"/>
        <w:sz w:val="18"/>
        <w:szCs w:val="18"/>
      </w:rPr>
      <w:fldChar w:fldCharType="end"/>
    </w:r>
    <w:r>
      <w:rPr>
        <w:sz w:val="18"/>
        <w:szCs w:val="18"/>
      </w:rPr>
      <w:t>, tel: 021/721-006, Predsjednik: Martin Merčep</w:t>
    </w:r>
  </w:p>
  <w:p w14:paraId="10AEC270">
    <w:pPr>
      <w:pStyle w:val="6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DAD94">
    <w:pPr>
      <w:pStyle w:val="7"/>
      <w:tabs>
        <w:tab w:val="left" w:pos="2490"/>
        <w:tab w:val="clear" w:pos="4536"/>
        <w:tab w:val="clear" w:pos="9072"/>
      </w:tabs>
      <w:spacing w:line="276" w:lineRule="auto"/>
      <w:jc w:val="right"/>
    </w:pPr>
    <w:r>
      <w:rPr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432560" cy="780415"/>
          <wp:effectExtent l="0" t="0" r="0" b="635"/>
          <wp:wrapTight wrapText="bothSides">
            <wp:wrapPolygon>
              <wp:start x="4309" y="0"/>
              <wp:lineTo x="0" y="3691"/>
              <wp:lineTo x="0" y="17927"/>
              <wp:lineTo x="574" y="21090"/>
              <wp:lineTo x="20681" y="21090"/>
              <wp:lineTo x="21255" y="18981"/>
              <wp:lineTo x="21255" y="13181"/>
              <wp:lineTo x="10340" y="1055"/>
              <wp:lineTo x="8904" y="0"/>
              <wp:lineTo x="4309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Turistička zajednica Općine Šestanovac</w:t>
    </w:r>
  </w:p>
  <w:p w14:paraId="37F8AAFA">
    <w:pPr>
      <w:pStyle w:val="7"/>
      <w:tabs>
        <w:tab w:val="left" w:pos="2490"/>
        <w:tab w:val="clear" w:pos="4536"/>
        <w:tab w:val="clear" w:pos="9072"/>
      </w:tabs>
      <w:spacing w:line="276" w:lineRule="auto"/>
      <w:jc w:val="right"/>
    </w:pPr>
    <w:r>
      <w:t>dr. Franje Tuđmana 75</w:t>
    </w:r>
  </w:p>
  <w:p w14:paraId="642FE4C9">
    <w:pPr>
      <w:pStyle w:val="7"/>
      <w:tabs>
        <w:tab w:val="left" w:pos="2490"/>
        <w:tab w:val="clear" w:pos="4536"/>
        <w:tab w:val="clear" w:pos="9072"/>
      </w:tabs>
      <w:spacing w:line="276" w:lineRule="auto"/>
      <w:jc w:val="right"/>
    </w:pPr>
    <w:r>
      <w:t>21250 Šestanovac</w:t>
    </w:r>
  </w:p>
  <w:p w14:paraId="38D361B0">
    <w:pPr>
      <w:pStyle w:val="7"/>
      <w:tabs>
        <w:tab w:val="left" w:pos="2490"/>
        <w:tab w:val="clear" w:pos="4536"/>
        <w:tab w:val="clear" w:pos="9072"/>
      </w:tabs>
      <w:spacing w:line="276" w:lineRule="auto"/>
      <w:jc w:val="right"/>
    </w:pPr>
    <w:r>
      <w:t>OIB: 37297257261</w:t>
    </w:r>
  </w:p>
  <w:p w14:paraId="1A207F1B">
    <w:pPr>
      <w:pStyle w:val="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DA89E"/>
    <w:multiLevelType w:val="multilevel"/>
    <w:tmpl w:val="B37DA89E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132CDA9C"/>
    <w:multiLevelType w:val="multilevel"/>
    <w:tmpl w:val="132CDA9C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BB"/>
    <w:rsid w:val="00030091"/>
    <w:rsid w:val="000301C6"/>
    <w:rsid w:val="000A7651"/>
    <w:rsid w:val="000D101E"/>
    <w:rsid w:val="000E3EC9"/>
    <w:rsid w:val="000F5A1B"/>
    <w:rsid w:val="00116E24"/>
    <w:rsid w:val="0016604E"/>
    <w:rsid w:val="001E57E8"/>
    <w:rsid w:val="001F50EB"/>
    <w:rsid w:val="0023474C"/>
    <w:rsid w:val="00263965"/>
    <w:rsid w:val="00267817"/>
    <w:rsid w:val="003202EC"/>
    <w:rsid w:val="0035378C"/>
    <w:rsid w:val="003A5250"/>
    <w:rsid w:val="003C45FC"/>
    <w:rsid w:val="003E1429"/>
    <w:rsid w:val="003E458C"/>
    <w:rsid w:val="003F4AFF"/>
    <w:rsid w:val="00420625"/>
    <w:rsid w:val="004206FA"/>
    <w:rsid w:val="0044588B"/>
    <w:rsid w:val="00467539"/>
    <w:rsid w:val="00491B77"/>
    <w:rsid w:val="00516B3A"/>
    <w:rsid w:val="00522553"/>
    <w:rsid w:val="00526C9F"/>
    <w:rsid w:val="005441FA"/>
    <w:rsid w:val="00553EE8"/>
    <w:rsid w:val="00566C8A"/>
    <w:rsid w:val="00574CEB"/>
    <w:rsid w:val="0057668F"/>
    <w:rsid w:val="005A03F4"/>
    <w:rsid w:val="005E08BA"/>
    <w:rsid w:val="005E393D"/>
    <w:rsid w:val="005E7647"/>
    <w:rsid w:val="00614648"/>
    <w:rsid w:val="00620D17"/>
    <w:rsid w:val="00630954"/>
    <w:rsid w:val="00636495"/>
    <w:rsid w:val="006561FF"/>
    <w:rsid w:val="006B72FE"/>
    <w:rsid w:val="006E3A15"/>
    <w:rsid w:val="007078D1"/>
    <w:rsid w:val="00725A4F"/>
    <w:rsid w:val="00743243"/>
    <w:rsid w:val="007521E9"/>
    <w:rsid w:val="00754F29"/>
    <w:rsid w:val="007B3257"/>
    <w:rsid w:val="007D348B"/>
    <w:rsid w:val="007F18E4"/>
    <w:rsid w:val="008000DE"/>
    <w:rsid w:val="00803F79"/>
    <w:rsid w:val="00885087"/>
    <w:rsid w:val="00895C6F"/>
    <w:rsid w:val="008B44EA"/>
    <w:rsid w:val="008C49B0"/>
    <w:rsid w:val="008F12C5"/>
    <w:rsid w:val="0094360F"/>
    <w:rsid w:val="0096331A"/>
    <w:rsid w:val="009911B0"/>
    <w:rsid w:val="00992F9A"/>
    <w:rsid w:val="009970B6"/>
    <w:rsid w:val="009A47F3"/>
    <w:rsid w:val="009D13C8"/>
    <w:rsid w:val="009F1B2F"/>
    <w:rsid w:val="00A42632"/>
    <w:rsid w:val="00A43774"/>
    <w:rsid w:val="00A60C87"/>
    <w:rsid w:val="00A6110B"/>
    <w:rsid w:val="00AB317D"/>
    <w:rsid w:val="00AD6055"/>
    <w:rsid w:val="00B0085C"/>
    <w:rsid w:val="00B14527"/>
    <w:rsid w:val="00B53B76"/>
    <w:rsid w:val="00B75BD9"/>
    <w:rsid w:val="00B93EB2"/>
    <w:rsid w:val="00BC6A00"/>
    <w:rsid w:val="00C02819"/>
    <w:rsid w:val="00C6597E"/>
    <w:rsid w:val="00C76403"/>
    <w:rsid w:val="00C92D1C"/>
    <w:rsid w:val="00CC55BB"/>
    <w:rsid w:val="00CC63A5"/>
    <w:rsid w:val="00CF2BD6"/>
    <w:rsid w:val="00D00582"/>
    <w:rsid w:val="00D17578"/>
    <w:rsid w:val="00D22ED2"/>
    <w:rsid w:val="00D55D0A"/>
    <w:rsid w:val="00DB3CE4"/>
    <w:rsid w:val="00DE5262"/>
    <w:rsid w:val="00E107B0"/>
    <w:rsid w:val="00E168AF"/>
    <w:rsid w:val="00E511AB"/>
    <w:rsid w:val="00E57973"/>
    <w:rsid w:val="00E62F95"/>
    <w:rsid w:val="00E66B83"/>
    <w:rsid w:val="00E816D8"/>
    <w:rsid w:val="00E960BA"/>
    <w:rsid w:val="00EA326E"/>
    <w:rsid w:val="00ED3D4A"/>
    <w:rsid w:val="00F21317"/>
    <w:rsid w:val="00F36614"/>
    <w:rsid w:val="00F90D7D"/>
    <w:rsid w:val="00FA0025"/>
    <w:rsid w:val="00FC28D7"/>
    <w:rsid w:val="00FE077D"/>
    <w:rsid w:val="019641B3"/>
    <w:rsid w:val="04D21F8E"/>
    <w:rsid w:val="099D224F"/>
    <w:rsid w:val="0AC6325D"/>
    <w:rsid w:val="14296CAD"/>
    <w:rsid w:val="1B724800"/>
    <w:rsid w:val="3517678F"/>
    <w:rsid w:val="43B07F62"/>
    <w:rsid w:val="52283ADC"/>
    <w:rsid w:val="54C01E28"/>
    <w:rsid w:val="57686374"/>
    <w:rsid w:val="5A8E3AAF"/>
    <w:rsid w:val="625A2A91"/>
    <w:rsid w:val="64061AB4"/>
    <w:rsid w:val="688D4CC0"/>
    <w:rsid w:val="6DC0657F"/>
    <w:rsid w:val="738D5B32"/>
    <w:rsid w:val="75EA1CE7"/>
    <w:rsid w:val="76EC0F32"/>
    <w:rsid w:val="7E3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</w:pPr>
    <w:rPr>
      <w:rFonts w:ascii="Times New Roman" w:hAnsi="Times New Roman" w:eastAsiaTheme="minorHAnsi" w:cstheme="minorBidi"/>
      <w:sz w:val="24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</w:pPr>
    <w:rPr>
      <w:rFonts w:ascii="Times New Roman" w:hAnsi="Times New Roman" w:eastAsiaTheme="minorHAnsi" w:cstheme="minorBidi"/>
      <w:sz w:val="24"/>
    </w:rPr>
  </w:style>
  <w:style w:type="character" w:styleId="8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hr-HR"/>
    </w:rPr>
  </w:style>
  <w:style w:type="character" w:styleId="10">
    <w:name w:val="Strong"/>
    <w:basedOn w:val="3"/>
    <w:qFormat/>
    <w:uiPriority w:val="22"/>
    <w:rPr>
      <w:b/>
      <w:bCs/>
    </w:rPr>
  </w:style>
  <w:style w:type="table" w:styleId="11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Title"/>
    <w:basedOn w:val="1"/>
    <w:next w:val="1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13">
    <w:name w:val="Zaglavlje Char"/>
    <w:basedOn w:val="3"/>
    <w:link w:val="7"/>
    <w:qFormat/>
    <w:uiPriority w:val="99"/>
  </w:style>
  <w:style w:type="character" w:customStyle="1" w:styleId="14">
    <w:name w:val="Podnožje Char"/>
    <w:basedOn w:val="3"/>
    <w:link w:val="6"/>
    <w:qFormat/>
    <w:uiPriority w:val="99"/>
  </w:style>
  <w:style w:type="paragraph" w:customStyle="1" w:styleId="15">
    <w:name w:val="t-11-9-sred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hr-HR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  <w:style w:type="character" w:customStyle="1" w:styleId="17">
    <w:name w:val="Tekst balončića Char"/>
    <w:basedOn w:val="3"/>
    <w:link w:val="5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18">
    <w:name w:val="Heading #1_"/>
    <w:basedOn w:val="3"/>
    <w:link w:val="19"/>
    <w:semiHidden/>
    <w:qFormat/>
    <w:locked/>
    <w:uiPriority w:val="0"/>
    <w:rPr>
      <w:rFonts w:eastAsia="Times New Roman" w:cs="Times New Roman"/>
      <w:shd w:val="clear" w:color="auto" w:fill="FFFFFF"/>
    </w:rPr>
  </w:style>
  <w:style w:type="paragraph" w:customStyle="1" w:styleId="19">
    <w:name w:val="Heading #1"/>
    <w:basedOn w:val="1"/>
    <w:link w:val="18"/>
    <w:semiHidden/>
    <w:qFormat/>
    <w:uiPriority w:val="0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hAnsi="Times New Roman" w:eastAsia="Times New Roman"/>
      <w:sz w:val="24"/>
    </w:rPr>
  </w:style>
  <w:style w:type="character" w:customStyle="1" w:styleId="20">
    <w:name w:val="Body text (2)_"/>
    <w:basedOn w:val="3"/>
    <w:link w:val="21"/>
    <w:semiHidden/>
    <w:qFormat/>
    <w:locked/>
    <w:uiPriority w:val="0"/>
    <w:rPr>
      <w:rFonts w:eastAsia="Times New Roman" w:cs="Times New Roman"/>
      <w:sz w:val="22"/>
      <w:shd w:val="clear" w:color="auto" w:fill="FFFFFF"/>
    </w:rPr>
  </w:style>
  <w:style w:type="paragraph" w:customStyle="1" w:styleId="21">
    <w:name w:val="Body text (2)"/>
    <w:basedOn w:val="1"/>
    <w:link w:val="20"/>
    <w:semiHidden/>
    <w:qFormat/>
    <w:uiPriority w:val="0"/>
    <w:pPr>
      <w:widowControl w:val="0"/>
      <w:shd w:val="clear" w:color="auto" w:fill="FFFFFF"/>
      <w:spacing w:before="240" w:after="240" w:line="283" w:lineRule="exact"/>
      <w:ind w:hanging="360"/>
      <w:jc w:val="both"/>
    </w:pPr>
    <w:rPr>
      <w:rFonts w:ascii="Times New Roman" w:hAnsi="Times New Roman" w:eastAsia="Times New Roman"/>
    </w:rPr>
  </w:style>
  <w:style w:type="character" w:customStyle="1" w:styleId="22">
    <w:name w:val="Heading #1 + Spacing 3 pt"/>
    <w:basedOn w:val="18"/>
    <w:qFormat/>
    <w:uiPriority w:val="0"/>
    <w:rPr>
      <w:rFonts w:eastAsia="Times New Roman" w:cs="Times New Roman"/>
      <w:color w:val="000000"/>
      <w:spacing w:val="70"/>
      <w:w w:val="100"/>
      <w:position w:val="0"/>
      <w:sz w:val="24"/>
      <w:szCs w:val="24"/>
      <w:shd w:val="clear" w:color="auto" w:fill="FFFFFF"/>
      <w:lang w:val="hr-HR" w:eastAsia="hr-HR" w:bidi="hr-HR"/>
    </w:rPr>
  </w:style>
  <w:style w:type="table" w:customStyle="1" w:styleId="23">
    <w:name w:val="Obična tablica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24">
    <w:name w:val="TableGrid"/>
    <w:basedOn w:val="4"/>
    <w:qFormat/>
    <w:uiPriority w:val="0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hr-HR"/>
    </w:rPr>
    <w:tblPr>
      <w:tblCellMar>
        <w:left w:w="0" w:type="dxa"/>
        <w:right w:w="0" w:type="dxa"/>
      </w:tblCellMar>
    </w:tblPr>
  </w:style>
  <w:style w:type="character" w:customStyle="1" w:styleId="25">
    <w:name w:val="font31"/>
    <w:qFormat/>
    <w:uiPriority w:val="0"/>
    <w:rPr>
      <w:rFonts w:hint="default" w:ascii="Calibri" w:hAnsi="Calibri" w:cs="Calibri"/>
      <w:b/>
      <w:bCs/>
      <w:color w:val="000000"/>
      <w:u w:val="none"/>
    </w:rPr>
  </w:style>
  <w:style w:type="character" w:customStyle="1" w:styleId="26">
    <w:name w:val="font91"/>
    <w:qFormat/>
    <w:uiPriority w:val="0"/>
    <w:rPr>
      <w:rFonts w:hint="default" w:ascii="Calibri" w:hAnsi="Calibri" w:cs="Calibri"/>
      <w:b/>
      <w:bCs/>
      <w:i/>
      <w:i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ED0C4E-6B98-43C9-A8D2-394FB300FF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78</Words>
  <Characters>445</Characters>
  <Lines>3</Lines>
  <Paragraphs>1</Paragraphs>
  <TotalTime>3</TotalTime>
  <ScaleCrop>false</ScaleCrop>
  <LinksUpToDate>false</LinksUpToDate>
  <CharactersWithSpaces>522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2022-05-19T05:50:00Z</dcterms:created>
  <dc:creator>Marko</dc:creator>
  <cp:lastModifiedBy>andjela ivandic</cp:lastModifiedBy>
  <cp:lastPrinted>2022-06-01T08:08:00Z</cp:lastPrinted>
  <dcterms:modified xsi:type="dcterms:W3CDTF">2026-03-24T08:17:02Z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DEF677A0E550472797F73C50E2470CB9_13</vt:lpwstr>
  </property>
</Properties>
</file>