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B7620">
      <w:pPr>
        <w:keepNext w:val="0"/>
        <w:keepLines w:val="0"/>
        <w:widowControl/>
        <w:suppressLineNumbers w:val="0"/>
        <w:spacing w:before="0" w:beforeAutospacing="0" w:after="160" w:afterAutospacing="0" w:line="256" w:lineRule="auto"/>
        <w:ind w:left="0" w:right="0"/>
        <w:jc w:val="left"/>
        <w:rPr>
          <w:sz w:val="21"/>
          <w:szCs w:val="21"/>
        </w:rPr>
      </w:pPr>
    </w:p>
    <w:p w14:paraId="23252028">
      <w:pPr>
        <w:rPr>
          <w:rFonts w:hint="default" w:ascii="Times New Roman" w:hAnsi="Times New Roman" w:cs="Times New Roman"/>
          <w:sz w:val="22"/>
          <w:szCs w:val="22"/>
        </w:rPr>
      </w:pPr>
    </w:p>
    <w:p w14:paraId="06B32B24">
      <w:pPr>
        <w:pStyle w:val="10"/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auto"/>
          <w:sz w:val="22"/>
          <w:szCs w:val="22"/>
        </w:rPr>
        <w:t>IZVJEŠĆE SKUPŠTINE O PROVEDENOM NADZORU NAD POSLOVANJEM TURISTIČKE ZAJEDNICE OPĆINE ŠESTANOVAC ZA 2025. GODINU</w:t>
      </w:r>
      <w:bookmarkStart w:id="0" w:name="_GoBack"/>
      <w:bookmarkEnd w:id="0"/>
    </w:p>
    <w:p w14:paraId="3DC5CEF2">
      <w:pPr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Skupština Turističke zajednice Općine Šestanovac, sukladno Zakonu o turističkim zajednicama i promicanju hrvatskog turizma te Statutu Turističke zajednice Općine Šestanovac, izvršila je nadzor nad poslovanjem Turističke zajednice za razdoblje od 1. siječnja do 31. prosinca 2025. godine.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Nadzor je proveden na temelju relevantne dokumentacije, uključujući Izvješće o izvršenju programa rada, financijsko izvješće, Izvješće o radu Turističkog vijeća te Izvješće direktora o radu za 2025. godinu, kao i uvidom u cjelokupno poslovanje Turističke zajednice.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Uvidom u Izvješće o izvršenju programa rada utvrđeno je da su aktivnosti Turističke zajednice u najvećem dijelu provedene sukladno planiranim ciljevima. Poseban naglasak stavljen je na organizaciju i razvoj turističkih događanja, promociju destinacije te unapređenje turističke ponude.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Tijekom 2025. godine organizirane su i provedene brojne manifestacije, među kojima se ističu „Šestanovačko lito“, „Okusi Šestanovca“, „S maslinom u ruci i pismom na usnama“, kao i Adventska događanja. Navedene aktivnosti značajno su pridonijele promociji destinacije i povećanju zadovoljstva posjetitelja i lokalnog stanovništva.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Prema podacima iz sustava eVisitor zabilježen je blagi porast turističkog prometa u odnosu na prethodnu godinu, što se očituje u povećanju broja dolazaka i noćenja, čime se potvrđuje pozitivan trend razvoja turizma na području Općine Šestanovac.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Na temelju financijskih pokazatelja utvrđeno je da su ukupni prihodi ostvareni u iznosu od 117.685,77 €, dok su rashodi ostvareni u iznosu od 125.149,84 €. U strukturi prihoda dominiraju prihodi iz proračuna, turističke pristojbe i članarine, dok su rashodi najvećim dijelom usmjereni na razvoj turističkih događanja, promotivne aktivnosti i funkcioniranje turističkog ureda.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Utvrđeno je odstupanje između prihoda i rashoda u iznosu od 7.464,07 €, odnosno manjak koji se pokriva iz prenesenih sredstava iz prethodnih razdoblja. Skupština utvrđuje da su sredstva korištena namjenski i u skladu s financijskim planom i njegovim izmjenama.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Iz Izvješća o radu Turističkog vijeća vidljivo je da je tijekom 2025. godine održano tri sjednice, na kojima su razmatrana i usvajana ključna pitanja vezana uz poslovanje Turističke zajednice. Turističko vijeće djelovalo je u okviru svojih zakonskih ovlasti te osiguravalo provedbu programa rada i financijskog plana.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Iz Izvješća direktora utvrđeno je da je direktor uredno provodio odluke Turističkog vijeća, organizirao rad turističkog ureda te koordinirao provedbu svih aktivnosti. Također je ostvarena kontinuirana suradnja s lokalnom samoupravom, Turističkom zajednicom Splitsko-dalmatinske županije te drugim relevantnim dionicima u turizmu.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Posebno se ističe angažman u organizaciji manifestacija, promociji destinacije te administrativnom i operativnom vođenju Turističke zajednice.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Tijekom 2025. godine održane su dvije sjednice Skupštine Turističke zajednice Općine Šestanovac. Na prvu sjednicu odazvalo se 5 članova, dok su na drugu sjednicu odazvala 4 člana, čime nije ostvaren potreban kvorum za pravovaljano donošenje odluka.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Navedena okolnost predstavlja otežavajući faktor u radu Skupštine te ukazuje na potrebu većeg angažmana članova, kako bi se osiguralo zakonito i učinkovito funkcioniranje tijela Turističke zajednice.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Unatoč navedenim poteškoćama u radu Skupštine, redovno poslovanje Turističke zajednice odvijalo se kontinuirano putem Turističkog vijeća i turističkog ureda.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Zaključno, Skupština utvrđuje da je Turistička zajednica Općine Šestanovac u 2025. godini poslovala u skladu s važećim zakonskim propisima, Programom rada i financijskim planom, uz transparentno i namjensko korištenje sredstava.</w:t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color w:val="auto"/>
          <w:sz w:val="22"/>
          <w:szCs w:val="22"/>
        </w:rPr>
        <w:t>Skupština prihvaća Izvješće o provedenom nadzoru nad poslovanjem Turističke zajednice Općine Šestanovac za 2025. godinu.</w:t>
      </w:r>
    </w:p>
    <w:p w14:paraId="68740412">
      <w:pPr>
        <w:rPr>
          <w:rFonts w:hint="default" w:ascii="Times New Roman" w:hAnsi="Times New Roman" w:cs="Times New Roman"/>
          <w:color w:val="auto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9CAC5">
    <w:pPr>
      <w:pStyle w:val="5"/>
      <w:rPr>
        <w:sz w:val="18"/>
        <w:szCs w:val="18"/>
      </w:rPr>
    </w:pPr>
    <w:r>
      <w:rPr>
        <w:sz w:val="18"/>
        <w:szCs w:val="18"/>
      </w:rPr>
      <w:t xml:space="preserve">Upisana u upisnik turističkih zajednica br.321, RNO broj:041536, MB:04773748. IBAN:HR5010010051744304747 kod OTP BANKA d.d., e-mail: </w:t>
    </w:r>
    <w:r>
      <w:fldChar w:fldCharType="begin"/>
    </w:r>
    <w:r>
      <w:instrText xml:space="preserve"> HYPERLINK "mailto:tz.sestanovac@gmail.com" </w:instrText>
    </w:r>
    <w:r>
      <w:fldChar w:fldCharType="separate"/>
    </w:r>
    <w:r>
      <w:rPr>
        <w:rStyle w:val="7"/>
        <w:sz w:val="18"/>
        <w:szCs w:val="18"/>
      </w:rPr>
      <w:t>tz.sestanovac@gmail.com</w:t>
    </w:r>
    <w:r>
      <w:rPr>
        <w:rStyle w:val="7"/>
        <w:sz w:val="18"/>
        <w:szCs w:val="18"/>
      </w:rPr>
      <w:fldChar w:fldCharType="end"/>
    </w:r>
    <w:r>
      <w:rPr>
        <w:sz w:val="18"/>
        <w:szCs w:val="18"/>
      </w:rPr>
      <w:t>, tel: 021/721-006, Predsjednik: Martin Merčep</w:t>
    </w:r>
  </w:p>
  <w:p w14:paraId="78DC29EA">
    <w:pPr>
      <w:pStyle w:val="5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0DB3C">
    <w:pPr>
      <w:pStyle w:val="6"/>
      <w:tabs>
        <w:tab w:val="left" w:pos="2490"/>
        <w:tab w:val="clear" w:pos="4536"/>
        <w:tab w:val="clear" w:pos="9072"/>
      </w:tabs>
      <w:spacing w:line="276" w:lineRule="auto"/>
      <w:jc w:val="right"/>
    </w:pPr>
    <w:r>
      <w:rPr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432560" cy="780415"/>
          <wp:effectExtent l="0" t="0" r="0" b="635"/>
          <wp:wrapTight wrapText="bothSides">
            <wp:wrapPolygon>
              <wp:start x="4309" y="0"/>
              <wp:lineTo x="0" y="3691"/>
              <wp:lineTo x="0" y="17927"/>
              <wp:lineTo x="574" y="21090"/>
              <wp:lineTo x="20681" y="21090"/>
              <wp:lineTo x="21255" y="18981"/>
              <wp:lineTo x="21255" y="13181"/>
              <wp:lineTo x="10340" y="1055"/>
              <wp:lineTo x="8904" y="0"/>
              <wp:lineTo x="4309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6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Turistička zajednica Općine Šestanovac</w:t>
    </w:r>
  </w:p>
  <w:p w14:paraId="79614913">
    <w:pPr>
      <w:pStyle w:val="6"/>
      <w:tabs>
        <w:tab w:val="left" w:pos="2490"/>
        <w:tab w:val="clear" w:pos="4536"/>
        <w:tab w:val="clear" w:pos="9072"/>
      </w:tabs>
      <w:spacing w:line="276" w:lineRule="auto"/>
      <w:jc w:val="right"/>
    </w:pPr>
    <w:r>
      <w:t>dr. Franje Tuđmana 75</w:t>
    </w:r>
  </w:p>
  <w:p w14:paraId="7D5FC916">
    <w:pPr>
      <w:pStyle w:val="6"/>
      <w:tabs>
        <w:tab w:val="left" w:pos="2490"/>
        <w:tab w:val="clear" w:pos="4536"/>
        <w:tab w:val="clear" w:pos="9072"/>
      </w:tabs>
      <w:spacing w:line="276" w:lineRule="auto"/>
      <w:jc w:val="right"/>
    </w:pPr>
    <w:r>
      <w:t>21250 Šestanovac</w:t>
    </w:r>
  </w:p>
  <w:p w14:paraId="76F1ECAB">
    <w:pPr>
      <w:pStyle w:val="6"/>
      <w:tabs>
        <w:tab w:val="left" w:pos="2490"/>
        <w:tab w:val="clear" w:pos="4536"/>
        <w:tab w:val="clear" w:pos="9072"/>
      </w:tabs>
      <w:spacing w:line="276" w:lineRule="auto"/>
      <w:jc w:val="right"/>
    </w:pPr>
    <w:r>
      <w:t>OIB: 37297257261</w:t>
    </w:r>
  </w:p>
  <w:p w14:paraId="076F5A2C">
    <w:pPr>
      <w:pStyle w:val="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BB"/>
    <w:rsid w:val="00030091"/>
    <w:rsid w:val="000301C6"/>
    <w:rsid w:val="000A7651"/>
    <w:rsid w:val="000D101E"/>
    <w:rsid w:val="000E3EC9"/>
    <w:rsid w:val="000F5A1B"/>
    <w:rsid w:val="00116E24"/>
    <w:rsid w:val="0016604E"/>
    <w:rsid w:val="001E57E8"/>
    <w:rsid w:val="001F50EB"/>
    <w:rsid w:val="0023474C"/>
    <w:rsid w:val="00263965"/>
    <w:rsid w:val="00267817"/>
    <w:rsid w:val="003202EC"/>
    <w:rsid w:val="0035378C"/>
    <w:rsid w:val="003A5250"/>
    <w:rsid w:val="003C45FC"/>
    <w:rsid w:val="003E1429"/>
    <w:rsid w:val="003E458C"/>
    <w:rsid w:val="003F4AFF"/>
    <w:rsid w:val="00420625"/>
    <w:rsid w:val="004206FA"/>
    <w:rsid w:val="0044588B"/>
    <w:rsid w:val="00467539"/>
    <w:rsid w:val="00491B77"/>
    <w:rsid w:val="00516B3A"/>
    <w:rsid w:val="00522553"/>
    <w:rsid w:val="00526C9F"/>
    <w:rsid w:val="005441FA"/>
    <w:rsid w:val="00553EE8"/>
    <w:rsid w:val="00566C8A"/>
    <w:rsid w:val="00574CEB"/>
    <w:rsid w:val="0057668F"/>
    <w:rsid w:val="005A03F4"/>
    <w:rsid w:val="005E08BA"/>
    <w:rsid w:val="005E393D"/>
    <w:rsid w:val="005E7647"/>
    <w:rsid w:val="00614648"/>
    <w:rsid w:val="00620D17"/>
    <w:rsid w:val="00630954"/>
    <w:rsid w:val="00636495"/>
    <w:rsid w:val="006561FF"/>
    <w:rsid w:val="006B72FE"/>
    <w:rsid w:val="006E3A15"/>
    <w:rsid w:val="007078D1"/>
    <w:rsid w:val="00725A4F"/>
    <w:rsid w:val="00743243"/>
    <w:rsid w:val="007521E9"/>
    <w:rsid w:val="00754F29"/>
    <w:rsid w:val="007B3257"/>
    <w:rsid w:val="007D348B"/>
    <w:rsid w:val="007F18E4"/>
    <w:rsid w:val="008000DE"/>
    <w:rsid w:val="00803F79"/>
    <w:rsid w:val="00885087"/>
    <w:rsid w:val="00895C6F"/>
    <w:rsid w:val="008B44EA"/>
    <w:rsid w:val="008C49B0"/>
    <w:rsid w:val="008F12C5"/>
    <w:rsid w:val="0094360F"/>
    <w:rsid w:val="0096331A"/>
    <w:rsid w:val="009911B0"/>
    <w:rsid w:val="00992F9A"/>
    <w:rsid w:val="009970B6"/>
    <w:rsid w:val="009A47F3"/>
    <w:rsid w:val="009D13C8"/>
    <w:rsid w:val="009F1B2F"/>
    <w:rsid w:val="00A42632"/>
    <w:rsid w:val="00A43774"/>
    <w:rsid w:val="00A60C87"/>
    <w:rsid w:val="00A6110B"/>
    <w:rsid w:val="00AB317D"/>
    <w:rsid w:val="00AD6055"/>
    <w:rsid w:val="00B0085C"/>
    <w:rsid w:val="00B14527"/>
    <w:rsid w:val="00B53B76"/>
    <w:rsid w:val="00B75BD9"/>
    <w:rsid w:val="00B93EB2"/>
    <w:rsid w:val="00BC6A00"/>
    <w:rsid w:val="00C02819"/>
    <w:rsid w:val="00C6597E"/>
    <w:rsid w:val="00C76403"/>
    <w:rsid w:val="00C92D1C"/>
    <w:rsid w:val="00CC55BB"/>
    <w:rsid w:val="00CC63A5"/>
    <w:rsid w:val="00CF2BD6"/>
    <w:rsid w:val="00D00582"/>
    <w:rsid w:val="00D17578"/>
    <w:rsid w:val="00D22ED2"/>
    <w:rsid w:val="00D55D0A"/>
    <w:rsid w:val="00DB3CE4"/>
    <w:rsid w:val="00DE5262"/>
    <w:rsid w:val="00E107B0"/>
    <w:rsid w:val="00E168AF"/>
    <w:rsid w:val="00E511AB"/>
    <w:rsid w:val="00E57973"/>
    <w:rsid w:val="00E62F95"/>
    <w:rsid w:val="00E66B83"/>
    <w:rsid w:val="00E816D8"/>
    <w:rsid w:val="00E960BA"/>
    <w:rsid w:val="00EA326E"/>
    <w:rsid w:val="00ED3D4A"/>
    <w:rsid w:val="00F21317"/>
    <w:rsid w:val="00F36614"/>
    <w:rsid w:val="00F90D7D"/>
    <w:rsid w:val="00FA0025"/>
    <w:rsid w:val="00FC28D7"/>
    <w:rsid w:val="00FE077D"/>
    <w:rsid w:val="011D2842"/>
    <w:rsid w:val="0EA84912"/>
    <w:rsid w:val="14296CAD"/>
    <w:rsid w:val="1CE7177B"/>
    <w:rsid w:val="228B6AB8"/>
    <w:rsid w:val="23B23D14"/>
    <w:rsid w:val="2BD94BFC"/>
    <w:rsid w:val="39320A83"/>
    <w:rsid w:val="416C258B"/>
    <w:rsid w:val="47242ABA"/>
    <w:rsid w:val="50230C99"/>
    <w:rsid w:val="54C01E28"/>
    <w:rsid w:val="65D73974"/>
    <w:rsid w:val="688D4CC0"/>
    <w:rsid w:val="6DC0657F"/>
    <w:rsid w:val="70107966"/>
    <w:rsid w:val="79FF1C1C"/>
    <w:rsid w:val="7E3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</w:pPr>
    <w:rPr>
      <w:rFonts w:ascii="Times New Roman" w:hAnsi="Times New Roman" w:eastAsiaTheme="minorHAnsi" w:cstheme="minorBidi"/>
      <w:sz w:val="24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</w:pPr>
    <w:rPr>
      <w:rFonts w:ascii="Times New Roman" w:hAnsi="Times New Roman" w:eastAsiaTheme="minorHAnsi" w:cstheme="minorBidi"/>
      <w:sz w:val="24"/>
    </w:r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hr-HR"/>
    </w:rPr>
  </w:style>
  <w:style w:type="character" w:styleId="9">
    <w:name w:val="Strong"/>
    <w:basedOn w:val="2"/>
    <w:qFormat/>
    <w:uiPriority w:val="22"/>
    <w:rPr>
      <w:b/>
      <w:bCs/>
    </w:rPr>
  </w:style>
  <w:style w:type="paragraph" w:styleId="10">
    <w:name w:val="Title"/>
    <w:basedOn w:val="1"/>
    <w:next w:val="1"/>
    <w:qFormat/>
    <w:uiPriority w:val="10"/>
    <w:pPr>
      <w:pBdr>
        <w:bottom w:val="single" w:color="5B9BD5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kern w:val="28"/>
      <w:sz w:val="52"/>
      <w:szCs w:val="52"/>
    </w:rPr>
  </w:style>
  <w:style w:type="character" w:customStyle="1" w:styleId="11">
    <w:name w:val="Zaglavlje Char"/>
    <w:basedOn w:val="2"/>
    <w:link w:val="6"/>
    <w:qFormat/>
    <w:uiPriority w:val="99"/>
  </w:style>
  <w:style w:type="character" w:customStyle="1" w:styleId="12">
    <w:name w:val="Podnožje Char"/>
    <w:basedOn w:val="2"/>
    <w:link w:val="5"/>
    <w:qFormat/>
    <w:uiPriority w:val="99"/>
  </w:style>
  <w:style w:type="paragraph" w:customStyle="1" w:styleId="13">
    <w:name w:val="t-11-9-sred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  <w:lang w:eastAsia="hr-HR"/>
    </w:rPr>
  </w:style>
  <w:style w:type="paragraph" w:styleId="14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  <w:style w:type="character" w:customStyle="1" w:styleId="15">
    <w:name w:val="Tekst balončića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  <w:style w:type="character" w:customStyle="1" w:styleId="16">
    <w:name w:val="Heading #1_"/>
    <w:basedOn w:val="2"/>
    <w:link w:val="17"/>
    <w:semiHidden/>
    <w:qFormat/>
    <w:locked/>
    <w:uiPriority w:val="0"/>
    <w:rPr>
      <w:rFonts w:eastAsia="Times New Roman" w:cs="Times New Roman"/>
      <w:shd w:val="clear" w:color="auto" w:fill="FFFFFF"/>
    </w:rPr>
  </w:style>
  <w:style w:type="paragraph" w:customStyle="1" w:styleId="17">
    <w:name w:val="Heading #1"/>
    <w:basedOn w:val="1"/>
    <w:link w:val="16"/>
    <w:semiHidden/>
    <w:qFormat/>
    <w:uiPriority w:val="0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hAnsi="Times New Roman" w:eastAsia="Times New Roman"/>
      <w:sz w:val="24"/>
    </w:rPr>
  </w:style>
  <w:style w:type="character" w:customStyle="1" w:styleId="18">
    <w:name w:val="Body text (2)_"/>
    <w:basedOn w:val="2"/>
    <w:link w:val="19"/>
    <w:semiHidden/>
    <w:qFormat/>
    <w:locked/>
    <w:uiPriority w:val="0"/>
    <w:rPr>
      <w:rFonts w:eastAsia="Times New Roman" w:cs="Times New Roman"/>
      <w:sz w:val="22"/>
      <w:shd w:val="clear" w:color="auto" w:fill="FFFFFF"/>
    </w:rPr>
  </w:style>
  <w:style w:type="paragraph" w:customStyle="1" w:styleId="19">
    <w:name w:val="Body text (2)"/>
    <w:basedOn w:val="1"/>
    <w:link w:val="18"/>
    <w:semiHidden/>
    <w:qFormat/>
    <w:uiPriority w:val="0"/>
    <w:pPr>
      <w:widowControl w:val="0"/>
      <w:shd w:val="clear" w:color="auto" w:fill="FFFFFF"/>
      <w:spacing w:before="240" w:after="240" w:line="283" w:lineRule="exact"/>
      <w:ind w:hanging="360"/>
      <w:jc w:val="both"/>
    </w:pPr>
    <w:rPr>
      <w:rFonts w:ascii="Times New Roman" w:hAnsi="Times New Roman" w:eastAsia="Times New Roman"/>
    </w:rPr>
  </w:style>
  <w:style w:type="character" w:customStyle="1" w:styleId="20">
    <w:name w:val="Heading #1 + Spacing 3 pt"/>
    <w:basedOn w:val="16"/>
    <w:qFormat/>
    <w:uiPriority w:val="0"/>
    <w:rPr>
      <w:rFonts w:eastAsia="Times New Roman" w:cs="Times New Roman"/>
      <w:color w:val="000000"/>
      <w:spacing w:val="70"/>
      <w:w w:val="100"/>
      <w:position w:val="0"/>
      <w:sz w:val="24"/>
      <w:szCs w:val="24"/>
      <w:shd w:val="clear" w:color="auto" w:fill="FFFFFF"/>
      <w:lang w:val="hr-HR" w:eastAsia="hr-HR" w:bidi="hr-HR"/>
    </w:rPr>
  </w:style>
  <w:style w:type="table" w:customStyle="1" w:styleId="21">
    <w:name w:val="Obična tablica"/>
    <w:semiHidden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D0C4E-6B98-43C9-A8D2-394FB300FF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445</Characters>
  <Lines>3</Lines>
  <Paragraphs>1</Paragraphs>
  <TotalTime>0</TotalTime>
  <ScaleCrop>false</ScaleCrop>
  <LinksUpToDate>false</LinksUpToDate>
  <CharactersWithSpaces>522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2022-05-19T06:50:00Z</dcterms:created>
  <dc:creator>Marko</dc:creator>
  <cp:lastModifiedBy>andjela ivandic</cp:lastModifiedBy>
  <cp:lastPrinted>2022-06-01T09:08:00Z</cp:lastPrinted>
  <dcterms:modified xsi:type="dcterms:W3CDTF">2026-03-24T08:35:06Z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FDADCC38470745D69D1D7188A091B072_13</vt:lpwstr>
  </property>
</Properties>
</file>